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A4" w:rsidRDefault="001D05A4" w:rsidP="00844FF6">
      <w:pPr>
        <w:rPr>
          <w:b/>
          <w:sz w:val="40"/>
          <w:szCs w:val="40"/>
        </w:rPr>
      </w:pPr>
      <w:r w:rsidRPr="001D05A4">
        <w:rPr>
          <w:b/>
          <w:noProof/>
          <w:sz w:val="40"/>
          <w:szCs w:val="40"/>
        </w:rPr>
        <w:drawing>
          <wp:inline distT="0" distB="0" distL="0" distR="0">
            <wp:extent cx="5943600" cy="1654210"/>
            <wp:effectExtent l="0" t="0" r="0" b="0"/>
            <wp:docPr id="7" name="Picture 7" descr="C:\Users\kathy.meagher\AppData\Local\Temp\Temp1_brand-assets.zip\Garrett College Brand files\Logo\Horizontal Logo\GClogoHorizFINAL_blu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y.meagher\AppData\Local\Temp\Temp1_brand-assets.zip\Garrett College Brand files\Logo\Horizontal Logo\GClogoHorizFINAL_blue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A4" w:rsidRDefault="001D05A4" w:rsidP="00844FF6">
      <w:pPr>
        <w:rPr>
          <w:b/>
          <w:sz w:val="40"/>
          <w:szCs w:val="40"/>
        </w:rPr>
      </w:pPr>
    </w:p>
    <w:p w:rsidR="001D05A4" w:rsidRDefault="003C28A3" w:rsidP="00844FF6">
      <w:pPr>
        <w:rPr>
          <w:b/>
          <w:sz w:val="40"/>
          <w:szCs w:val="40"/>
        </w:rPr>
      </w:pPr>
      <w:r w:rsidRPr="00210C44">
        <w:rPr>
          <w:b/>
          <w:noProof/>
          <w:sz w:val="40"/>
          <w:szCs w:val="40"/>
        </w:rPr>
        <w:drawing>
          <wp:inline distT="0" distB="0" distL="0" distR="0" wp14:anchorId="7CF72154" wp14:editId="2FC68DE0">
            <wp:extent cx="5943600" cy="4451985"/>
            <wp:effectExtent l="0" t="0" r="0" b="5715"/>
            <wp:docPr id="1" name="Picture 1" descr="C:\Users\kathy.meagher\AppData\Local\Microsoft\Windows\INetCache\Content.Outlook\SXLRB3BY\DJI_0693-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.meagher\AppData\Local\Microsoft\Windows\INetCache\Content.Outlook\SXLRB3BY\DJI_0693-G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A4" w:rsidRDefault="001D05A4" w:rsidP="00844FF6">
      <w:pPr>
        <w:rPr>
          <w:b/>
          <w:sz w:val="40"/>
          <w:szCs w:val="40"/>
        </w:rPr>
      </w:pPr>
    </w:p>
    <w:p w:rsidR="00126082" w:rsidRPr="003C28A3" w:rsidRDefault="00126082" w:rsidP="00844FF6">
      <w:pPr>
        <w:rPr>
          <w:b/>
          <w:sz w:val="32"/>
          <w:szCs w:val="40"/>
        </w:rPr>
      </w:pPr>
      <w:r w:rsidRPr="003C28A3">
        <w:rPr>
          <w:b/>
          <w:sz w:val="32"/>
          <w:szCs w:val="40"/>
        </w:rPr>
        <w:t>FACILITIES MASTER PLAN 2012-2022</w:t>
      </w:r>
    </w:p>
    <w:p w:rsidR="00582B71" w:rsidRDefault="00582B71" w:rsidP="00844FF6">
      <w:pPr>
        <w:rPr>
          <w:b/>
          <w:sz w:val="32"/>
          <w:szCs w:val="40"/>
        </w:rPr>
      </w:pPr>
      <w:r w:rsidRPr="003C28A3">
        <w:rPr>
          <w:b/>
          <w:sz w:val="32"/>
          <w:szCs w:val="40"/>
        </w:rPr>
        <w:t>Supplement Issued January 2016</w:t>
      </w:r>
    </w:p>
    <w:p w:rsidR="00582B71" w:rsidRDefault="00582B71" w:rsidP="00844FF6">
      <w:pPr>
        <w:rPr>
          <w:b/>
          <w:sz w:val="32"/>
          <w:szCs w:val="40"/>
        </w:rPr>
      </w:pPr>
      <w:r w:rsidRPr="003C28A3">
        <w:rPr>
          <w:b/>
          <w:sz w:val="32"/>
          <w:szCs w:val="40"/>
        </w:rPr>
        <w:t>Update</w:t>
      </w:r>
      <w:r w:rsidR="009B68DE">
        <w:rPr>
          <w:b/>
          <w:sz w:val="32"/>
          <w:szCs w:val="40"/>
        </w:rPr>
        <w:t xml:space="preserve"> Issued </w:t>
      </w:r>
      <w:r w:rsidRPr="003C28A3">
        <w:rPr>
          <w:b/>
          <w:sz w:val="32"/>
          <w:szCs w:val="40"/>
        </w:rPr>
        <w:t>February 1, 2019</w:t>
      </w:r>
    </w:p>
    <w:p w:rsidR="009B68DE" w:rsidRDefault="009B68DE" w:rsidP="00844FF6">
      <w:pPr>
        <w:rPr>
          <w:b/>
          <w:sz w:val="32"/>
          <w:szCs w:val="40"/>
        </w:rPr>
      </w:pPr>
    </w:p>
    <w:p w:rsidR="009B68DE" w:rsidRDefault="009B68DE" w:rsidP="00844FF6">
      <w:pPr>
        <w:rPr>
          <w:b/>
          <w:sz w:val="32"/>
          <w:szCs w:val="40"/>
        </w:rPr>
      </w:pPr>
      <w:r>
        <w:rPr>
          <w:b/>
          <w:sz w:val="32"/>
          <w:szCs w:val="40"/>
        </w:rPr>
        <w:t>Update</w:t>
      </w:r>
    </w:p>
    <w:p w:rsidR="009B68DE" w:rsidRPr="003C28A3" w:rsidRDefault="009B68DE" w:rsidP="00844FF6">
      <w:pPr>
        <w:rPr>
          <w:b/>
          <w:sz w:val="32"/>
          <w:szCs w:val="40"/>
        </w:rPr>
      </w:pPr>
      <w:r>
        <w:rPr>
          <w:b/>
          <w:sz w:val="32"/>
          <w:szCs w:val="40"/>
        </w:rPr>
        <w:t>February 1, 2020</w:t>
      </w:r>
    </w:p>
    <w:p w:rsidR="00B4100A" w:rsidRDefault="00B4100A" w:rsidP="00126082">
      <w:pPr>
        <w:ind w:left="4320"/>
        <w:jc w:val="both"/>
      </w:pPr>
    </w:p>
    <w:p w:rsidR="00682018" w:rsidRPr="00682018" w:rsidRDefault="00682018" w:rsidP="00682018">
      <w:pPr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018">
        <w:rPr>
          <w:rFonts w:ascii="Times New Roman" w:eastAsia="Times New Roman" w:hAnsi="Times New Roman" w:cs="Times New Roman"/>
          <w:b/>
          <w:sz w:val="28"/>
          <w:szCs w:val="28"/>
        </w:rPr>
        <w:t>TABLE OF CONTENTS</w:t>
      </w:r>
    </w:p>
    <w:p w:rsidR="00682018" w:rsidRPr="00682018" w:rsidRDefault="00682018" w:rsidP="00682018">
      <w:pPr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386E" w:rsidRDefault="004E386E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82018" w:rsidRPr="00396367" w:rsidRDefault="00682018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webHidden/>
          <w:sz w:val="28"/>
          <w:szCs w:val="28"/>
        </w:rPr>
      </w:pPr>
      <w:r w:rsidRPr="001D05A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I. </w:t>
      </w:r>
      <w:r w:rsidR="00B4690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capital projects</w:t>
      </w:r>
      <w:r w:rsidR="009B68D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update</w:t>
      </w:r>
      <w:r w:rsidR="009B68D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396367">
        <w:rPr>
          <w:rFonts w:ascii="Times New Roman" w:eastAsia="Times New Roman" w:hAnsi="Times New Roman" w:cs="Times New Roman"/>
          <w:b/>
          <w:bCs/>
          <w:caps/>
          <w:webHidden/>
          <w:sz w:val="28"/>
          <w:szCs w:val="28"/>
        </w:rPr>
        <w:t>1</w:t>
      </w:r>
    </w:p>
    <w:p w:rsidR="00E67A52" w:rsidRDefault="00E67A52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82018" w:rsidRDefault="00582B71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webHidden/>
          <w:sz w:val="28"/>
          <w:szCs w:val="28"/>
        </w:rPr>
      </w:pPr>
      <w:r w:rsidRPr="00043C8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II. </w:t>
      </w:r>
      <w:r w:rsidR="009B68D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facilities renewal program</w:t>
      </w:r>
      <w:r w:rsidR="00682018" w:rsidRPr="008900DB">
        <w:rPr>
          <w:rFonts w:ascii="Times New Roman" w:eastAsia="Times New Roman" w:hAnsi="Times New Roman" w:cs="Times New Roman"/>
          <w:b/>
          <w:bCs/>
          <w:caps/>
          <w:webHidden/>
          <w:sz w:val="28"/>
          <w:szCs w:val="28"/>
        </w:rPr>
        <w:tab/>
      </w:r>
      <w:r w:rsidR="00364113">
        <w:rPr>
          <w:rFonts w:ascii="Times New Roman" w:eastAsia="Times New Roman" w:hAnsi="Times New Roman" w:cs="Times New Roman"/>
          <w:b/>
          <w:bCs/>
          <w:caps/>
          <w:webHidden/>
          <w:sz w:val="28"/>
          <w:szCs w:val="28"/>
        </w:rPr>
        <w:t>2</w:t>
      </w:r>
    </w:p>
    <w:p w:rsidR="00E746A7" w:rsidRDefault="00E746A7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7D62A9" w:rsidRDefault="007D62A9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E746A7" w:rsidRDefault="00E746A7" w:rsidP="00682018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682018" w:rsidRPr="00E746A7" w:rsidRDefault="00E746A7" w:rsidP="00E746A7">
      <w:pPr>
        <w:tabs>
          <w:tab w:val="right" w:leader="dot" w:pos="8630"/>
        </w:tabs>
        <w:spacing w:before="120" w:after="12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attachment</w:t>
      </w:r>
    </w:p>
    <w:p w:rsidR="0078095F" w:rsidRDefault="0078095F" w:rsidP="008620A0">
      <w:pPr>
        <w:jc w:val="both"/>
        <w:rPr>
          <w:b/>
          <w:sz w:val="28"/>
          <w:szCs w:val="28"/>
          <w:u w:val="single"/>
        </w:rPr>
        <w:sectPr w:rsidR="0078095F" w:rsidSect="00AA234F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44FF6" w:rsidRPr="000D39A2" w:rsidRDefault="00844FF6" w:rsidP="00682018">
      <w:pPr>
        <w:jc w:val="left"/>
        <w:rPr>
          <w:b/>
          <w:sz w:val="28"/>
          <w:szCs w:val="28"/>
          <w:u w:val="single"/>
        </w:rPr>
      </w:pPr>
      <w:r w:rsidRPr="000D39A2">
        <w:rPr>
          <w:b/>
          <w:sz w:val="28"/>
          <w:szCs w:val="28"/>
          <w:u w:val="single"/>
        </w:rPr>
        <w:lastRenderedPageBreak/>
        <w:t xml:space="preserve">I. </w:t>
      </w:r>
      <w:r w:rsidR="004E386E">
        <w:rPr>
          <w:b/>
          <w:sz w:val="28"/>
          <w:szCs w:val="28"/>
          <w:u w:val="single"/>
        </w:rPr>
        <w:t xml:space="preserve">Capital Projects </w:t>
      </w:r>
      <w:r w:rsidR="00C04FFB" w:rsidRPr="000D39A2">
        <w:rPr>
          <w:b/>
          <w:sz w:val="28"/>
          <w:szCs w:val="28"/>
          <w:u w:val="single"/>
        </w:rPr>
        <w:t>Upda</w:t>
      </w:r>
      <w:r w:rsidR="004E386E">
        <w:rPr>
          <w:b/>
          <w:sz w:val="28"/>
          <w:szCs w:val="28"/>
          <w:u w:val="single"/>
        </w:rPr>
        <w:t>te</w:t>
      </w:r>
    </w:p>
    <w:p w:rsidR="00844FF6" w:rsidRDefault="00844FF6" w:rsidP="00844FF6">
      <w:pPr>
        <w:jc w:val="both"/>
        <w:rPr>
          <w:b/>
        </w:rPr>
      </w:pPr>
    </w:p>
    <w:p w:rsidR="00C9423B" w:rsidRDefault="00354914" w:rsidP="00354914">
      <w:pPr>
        <w:jc w:val="left"/>
        <w:rPr>
          <w:rFonts w:eastAsiaTheme="minorEastAsia"/>
          <w:sz w:val="24"/>
          <w:szCs w:val="24"/>
        </w:rPr>
      </w:pPr>
      <w:r w:rsidRPr="00354914">
        <w:rPr>
          <w:rFonts w:eastAsiaTheme="minorEastAsia"/>
          <w:sz w:val="24"/>
          <w:szCs w:val="24"/>
        </w:rPr>
        <w:t>Garrett College</w:t>
      </w:r>
      <w:r>
        <w:rPr>
          <w:rFonts w:eastAsiaTheme="minorEastAsia"/>
          <w:sz w:val="24"/>
          <w:szCs w:val="24"/>
        </w:rPr>
        <w:t xml:space="preserve"> has three updates to our Capital Project list</w:t>
      </w:r>
      <w:r w:rsidR="001738EE">
        <w:rPr>
          <w:rFonts w:eastAsiaTheme="minorEastAsia"/>
          <w:sz w:val="24"/>
          <w:szCs w:val="24"/>
        </w:rPr>
        <w:t>:</w:t>
      </w:r>
    </w:p>
    <w:p w:rsidR="00354914" w:rsidRDefault="00354914" w:rsidP="00354914">
      <w:pPr>
        <w:pStyle w:val="ListParagraph"/>
        <w:numPr>
          <w:ilvl w:val="0"/>
          <w:numId w:val="16"/>
        </w:numPr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Prioritize Building 600 ahead of Building 400</w:t>
      </w:r>
    </w:p>
    <w:p w:rsidR="00354914" w:rsidRDefault="00354914" w:rsidP="00354914">
      <w:pPr>
        <w:pStyle w:val="ListParagraph"/>
        <w:numPr>
          <w:ilvl w:val="0"/>
          <w:numId w:val="16"/>
        </w:numPr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Remove Parking Lot Expansions from the </w:t>
      </w:r>
      <w:r w:rsidR="008E4CFF">
        <w:rPr>
          <w:rFonts w:eastAsiaTheme="minorEastAsia"/>
          <w:sz w:val="24"/>
          <w:szCs w:val="24"/>
        </w:rPr>
        <w:t xml:space="preserve">project </w:t>
      </w:r>
      <w:r>
        <w:rPr>
          <w:rFonts w:eastAsiaTheme="minorEastAsia"/>
          <w:sz w:val="24"/>
          <w:szCs w:val="24"/>
        </w:rPr>
        <w:t>list</w:t>
      </w:r>
    </w:p>
    <w:p w:rsidR="00354914" w:rsidRDefault="00354914" w:rsidP="00354914">
      <w:pPr>
        <w:pStyle w:val="ListParagraph"/>
        <w:numPr>
          <w:ilvl w:val="0"/>
          <w:numId w:val="16"/>
        </w:numPr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Defer Turf Fields, CAOS Addition, and Biomass Plant</w:t>
      </w:r>
    </w:p>
    <w:p w:rsidR="007C1FA6" w:rsidRDefault="007C1FA6" w:rsidP="007C1FA6">
      <w:pPr>
        <w:jc w:val="left"/>
        <w:rPr>
          <w:rFonts w:eastAsiaTheme="minorEastAsia"/>
          <w:sz w:val="24"/>
          <w:szCs w:val="24"/>
        </w:rPr>
      </w:pPr>
    </w:p>
    <w:p w:rsidR="007C1FA6" w:rsidRDefault="007C1FA6" w:rsidP="007C1FA6">
      <w:pPr>
        <w:jc w:val="left"/>
      </w:pPr>
      <w:r>
        <w:t xml:space="preserve">Due to escalating maintenance issues with the sewer lines and HVAC systems in </w:t>
      </w:r>
      <w:r w:rsidRPr="00FA46BA">
        <w:t>Building 400</w:t>
      </w:r>
      <w:r>
        <w:t xml:space="preserve">, along with the original </w:t>
      </w:r>
      <w:r w:rsidR="00364113">
        <w:t>justification</w:t>
      </w:r>
      <w:r>
        <w:t xml:space="preserve"> for the </w:t>
      </w:r>
      <w:r w:rsidR="00B57168">
        <w:t xml:space="preserve">renovation and expansion of the </w:t>
      </w:r>
      <w:r w:rsidR="008E4CFF">
        <w:t>facility</w:t>
      </w:r>
      <w:r w:rsidR="00B57168">
        <w:t xml:space="preserve"> built in </w:t>
      </w:r>
      <w:r>
        <w:t>1981</w:t>
      </w:r>
      <w:r w:rsidR="00B57168">
        <w:t xml:space="preserve">, we are prioritizing this project ahead of the Building 600 renovation.  The </w:t>
      </w:r>
      <w:r w:rsidRPr="00FA46BA">
        <w:t xml:space="preserve">Part I will be developed </w:t>
      </w:r>
      <w:r w:rsidR="00B57168">
        <w:t xml:space="preserve">this spring, and the Part II will be submitted </w:t>
      </w:r>
      <w:r w:rsidRPr="00FA46BA">
        <w:t>in 202</w:t>
      </w:r>
      <w:r w:rsidR="00306557">
        <w:t>1</w:t>
      </w:r>
      <w:bookmarkStart w:id="0" w:name="_GoBack"/>
      <w:bookmarkEnd w:id="0"/>
      <w:r w:rsidRPr="00FA46BA">
        <w:t>.</w:t>
      </w:r>
      <w:r>
        <w:t xml:space="preserve"> </w:t>
      </w:r>
      <w:r w:rsidRPr="00FA46BA">
        <w:t xml:space="preserve"> </w:t>
      </w:r>
    </w:p>
    <w:p w:rsidR="007C1FA6" w:rsidRDefault="007C1FA6" w:rsidP="007C1FA6">
      <w:pPr>
        <w:jc w:val="left"/>
        <w:rPr>
          <w:rFonts w:eastAsiaTheme="minorEastAsia"/>
          <w:sz w:val="24"/>
          <w:szCs w:val="24"/>
        </w:rPr>
      </w:pPr>
    </w:p>
    <w:p w:rsidR="00B57168" w:rsidRDefault="00B57168" w:rsidP="00B57168">
      <w:pPr>
        <w:jc w:val="left"/>
      </w:pPr>
      <w:r w:rsidRPr="00B57168">
        <w:t xml:space="preserve">A parking evaluation was done by Garrett County Department of Planning &amp; Land Management </w:t>
      </w:r>
      <w:r w:rsidR="00364113">
        <w:t xml:space="preserve">during </w:t>
      </w:r>
      <w:r>
        <w:t xml:space="preserve">the summer of 2019 </w:t>
      </w:r>
      <w:r w:rsidRPr="00B57168">
        <w:t>in conjunction with Garrett College’s C</w:t>
      </w:r>
      <w:r w:rsidR="008E4CFF">
        <w:t xml:space="preserve">ommunity </w:t>
      </w:r>
      <w:r w:rsidR="008E4CFF" w:rsidRPr="00B57168">
        <w:t>E</w:t>
      </w:r>
      <w:r w:rsidR="008E4CFF">
        <w:t xml:space="preserve">ducation and </w:t>
      </w:r>
      <w:r w:rsidRPr="00B57168">
        <w:t>P</w:t>
      </w:r>
      <w:r w:rsidR="008E4CFF">
        <w:t xml:space="preserve">erforming </w:t>
      </w:r>
      <w:r w:rsidRPr="00B57168">
        <w:t>A</w:t>
      </w:r>
      <w:r w:rsidR="008E4CFF">
        <w:t xml:space="preserve">rts </w:t>
      </w:r>
      <w:r w:rsidRPr="00B57168">
        <w:t>C</w:t>
      </w:r>
      <w:r w:rsidR="008E4CFF">
        <w:t>enter</w:t>
      </w:r>
      <w:r w:rsidRPr="00B57168">
        <w:t xml:space="preserve"> project</w:t>
      </w:r>
      <w:r>
        <w:t>.  I</w:t>
      </w:r>
      <w:r w:rsidRPr="00B57168">
        <w:t>t was determined that no additional parking was needed</w:t>
      </w:r>
      <w:r>
        <w:t xml:space="preserve"> on campus</w:t>
      </w:r>
      <w:r w:rsidRPr="00B57168">
        <w:t xml:space="preserve">.  The Parking Lot Expansion project will be removed from the </w:t>
      </w:r>
      <w:r w:rsidR="00364113">
        <w:t>Capital Projects</w:t>
      </w:r>
      <w:r w:rsidRPr="00B57168">
        <w:t xml:space="preserve"> list.  Parking </w:t>
      </w:r>
      <w:r w:rsidR="008E4CFF">
        <w:t xml:space="preserve">needs and </w:t>
      </w:r>
      <w:r w:rsidRPr="00B57168">
        <w:t xml:space="preserve">inventory will continue to be </w:t>
      </w:r>
      <w:r w:rsidR="00364113">
        <w:t>monitored and reported</w:t>
      </w:r>
      <w:r w:rsidRPr="00B57168">
        <w:t xml:space="preserve"> annually in the MHEC CC Tables</w:t>
      </w:r>
      <w:r>
        <w:t>.</w:t>
      </w:r>
    </w:p>
    <w:p w:rsidR="00B57168" w:rsidRDefault="00B57168" w:rsidP="00B57168">
      <w:pPr>
        <w:jc w:val="left"/>
      </w:pPr>
    </w:p>
    <w:p w:rsidR="00B57168" w:rsidRPr="00B57168" w:rsidRDefault="00B57168" w:rsidP="00B57168">
      <w:pPr>
        <w:jc w:val="left"/>
      </w:pPr>
      <w:r>
        <w:t>Garrett College continues to research three p</w:t>
      </w:r>
      <w:r w:rsidRPr="00B57168">
        <w:t>rojects</w:t>
      </w:r>
      <w:r>
        <w:t>:  the installation of turf fields, an addition for our Center for Adventure and Outdoor Studies</w:t>
      </w:r>
      <w:r w:rsidR="00364113">
        <w:t xml:space="preserve"> facility</w:t>
      </w:r>
      <w:r>
        <w:t xml:space="preserve">, and a Biomass Plant.  </w:t>
      </w:r>
      <w:r w:rsidR="00364113">
        <w:t xml:space="preserve">We are deferring each of these projects by a year.  </w:t>
      </w:r>
      <w:r>
        <w:t xml:space="preserve">We </w:t>
      </w:r>
      <w:r w:rsidRPr="00B57168">
        <w:t xml:space="preserve">are not requesting State </w:t>
      </w:r>
      <w:r w:rsidR="008E4CFF">
        <w:t>or</w:t>
      </w:r>
      <w:r w:rsidRPr="00B57168">
        <w:t xml:space="preserve"> County funding </w:t>
      </w:r>
      <w:r>
        <w:t xml:space="preserve">for these projects </w:t>
      </w:r>
      <w:r w:rsidRPr="00B57168">
        <w:t xml:space="preserve">at this time. </w:t>
      </w:r>
      <w:r>
        <w:t xml:space="preserve"> </w:t>
      </w:r>
    </w:p>
    <w:p w:rsidR="00B57168" w:rsidRDefault="00B57168" w:rsidP="00B57168">
      <w:pPr>
        <w:jc w:val="left"/>
      </w:pPr>
    </w:p>
    <w:p w:rsidR="00E67A52" w:rsidRPr="00364113" w:rsidRDefault="00E67A52" w:rsidP="00364113">
      <w:pPr>
        <w:jc w:val="left"/>
        <w:rPr>
          <w:rFonts w:eastAsiaTheme="minorEastAsia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218"/>
        <w:gridCol w:w="2640"/>
        <w:gridCol w:w="1681"/>
        <w:gridCol w:w="1248"/>
      </w:tblGrid>
      <w:tr w:rsidR="00613BD5" w:rsidRPr="00EC7EEF" w:rsidTr="00354914">
        <w:tc>
          <w:tcPr>
            <w:tcW w:w="2861" w:type="dxa"/>
          </w:tcPr>
          <w:p w:rsidR="00613BD5" w:rsidRPr="00EC7EEF" w:rsidRDefault="0048369A" w:rsidP="0048369A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Proposed Projects</w:t>
            </w:r>
          </w:p>
        </w:tc>
        <w:tc>
          <w:tcPr>
            <w:tcW w:w="1218" w:type="dxa"/>
          </w:tcPr>
          <w:p w:rsidR="00613BD5" w:rsidRPr="00EC7EEF" w:rsidRDefault="00613BD5" w:rsidP="00AA3FA3">
            <w:pPr>
              <w:rPr>
                <w:rFonts w:ascii="Calibri" w:hAnsi="Calibri"/>
                <w:b/>
                <w:u w:val="single"/>
              </w:rPr>
            </w:pPr>
            <w:r w:rsidRPr="00EC7EEF">
              <w:rPr>
                <w:rFonts w:ascii="Calibri" w:hAnsi="Calibri"/>
                <w:b/>
                <w:u w:val="single"/>
              </w:rPr>
              <w:t>Fiscal Year</w:t>
            </w:r>
          </w:p>
        </w:tc>
        <w:tc>
          <w:tcPr>
            <w:tcW w:w="2640" w:type="dxa"/>
          </w:tcPr>
          <w:p w:rsidR="00613BD5" w:rsidRPr="00EC7EEF" w:rsidRDefault="00613BD5" w:rsidP="002B4243">
            <w:pPr>
              <w:rPr>
                <w:rFonts w:ascii="Calibri" w:hAnsi="Calibri"/>
                <w:b/>
                <w:u w:val="single"/>
              </w:rPr>
            </w:pPr>
            <w:r w:rsidRPr="00EC7EEF">
              <w:rPr>
                <w:rFonts w:ascii="Calibri" w:hAnsi="Calibri"/>
                <w:b/>
                <w:u w:val="single"/>
              </w:rPr>
              <w:t>Estimated Project Cost ($000’s)</w:t>
            </w:r>
          </w:p>
        </w:tc>
        <w:tc>
          <w:tcPr>
            <w:tcW w:w="1681" w:type="dxa"/>
          </w:tcPr>
          <w:p w:rsidR="00613BD5" w:rsidRPr="00EC7EEF" w:rsidRDefault="00613BD5" w:rsidP="002B4243">
            <w:pPr>
              <w:rPr>
                <w:rFonts w:ascii="Calibri" w:hAnsi="Calibri"/>
                <w:b/>
                <w:u w:val="single"/>
              </w:rPr>
            </w:pPr>
            <w:r w:rsidRPr="00EC7EEF">
              <w:rPr>
                <w:rFonts w:ascii="Calibri" w:hAnsi="Calibri"/>
                <w:b/>
                <w:u w:val="single"/>
              </w:rPr>
              <w:t>State Share ($000’s)</w:t>
            </w:r>
          </w:p>
        </w:tc>
        <w:tc>
          <w:tcPr>
            <w:tcW w:w="1248" w:type="dxa"/>
          </w:tcPr>
          <w:p w:rsidR="00613BD5" w:rsidRPr="00EC7EEF" w:rsidRDefault="00613BD5" w:rsidP="002B4243">
            <w:pPr>
              <w:rPr>
                <w:rFonts w:ascii="Calibri" w:hAnsi="Calibri"/>
                <w:b/>
                <w:u w:val="single"/>
              </w:rPr>
            </w:pPr>
            <w:r w:rsidRPr="00EC7EEF">
              <w:rPr>
                <w:rFonts w:ascii="Calibri" w:hAnsi="Calibri"/>
                <w:b/>
                <w:u w:val="single"/>
              </w:rPr>
              <w:t>Local Share ($000’s)</w:t>
            </w:r>
          </w:p>
        </w:tc>
      </w:tr>
      <w:tr w:rsidR="006D1261" w:rsidRPr="006D1261" w:rsidTr="00354914">
        <w:tc>
          <w:tcPr>
            <w:tcW w:w="2861" w:type="dxa"/>
          </w:tcPr>
          <w:p w:rsidR="008900DB" w:rsidRPr="006D1261" w:rsidRDefault="00FD57AF" w:rsidP="008900D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  <w:color w:val="BFBFBF" w:themeColor="background1" w:themeShade="BF"/>
              </w:rPr>
            </w:pPr>
            <w:r w:rsidRPr="006D1261">
              <w:rPr>
                <w:rFonts w:ascii="Calibri" w:hAnsi="Calibri"/>
                <w:b/>
                <w:color w:val="BFBFBF" w:themeColor="background1" w:themeShade="BF"/>
              </w:rPr>
              <w:t xml:space="preserve">Building 800 </w:t>
            </w:r>
          </w:p>
          <w:p w:rsidR="00FD57AF" w:rsidRPr="006D1261" w:rsidRDefault="00FD57AF" w:rsidP="005A304F">
            <w:pPr>
              <w:pStyle w:val="ListParagraph"/>
              <w:ind w:left="360"/>
              <w:jc w:val="left"/>
              <w:rPr>
                <w:rFonts w:ascii="Calibri" w:hAnsi="Calibri"/>
                <w:b/>
                <w:color w:val="BFBFBF" w:themeColor="background1" w:themeShade="BF"/>
              </w:rPr>
            </w:pP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Community Education</w:t>
            </w:r>
            <w:r w:rsidR="005A304F" w:rsidRPr="006D1261">
              <w:rPr>
                <w:rFonts w:ascii="Calibri" w:hAnsi="Calibri"/>
                <w:b/>
                <w:color w:val="BFBFBF" w:themeColor="background1" w:themeShade="BF"/>
              </w:rPr>
              <w:t xml:space="preserve"> &amp;</w:t>
            </w:r>
            <w:r w:rsidRPr="006D1261">
              <w:rPr>
                <w:rFonts w:ascii="Calibri" w:hAnsi="Calibri"/>
                <w:b/>
                <w:color w:val="BFBFBF" w:themeColor="background1" w:themeShade="BF"/>
              </w:rPr>
              <w:t xml:space="preserve"> Performing Arts Center</w:t>
            </w:r>
            <w:r w:rsidR="00E67A52" w:rsidRPr="006D1261">
              <w:rPr>
                <w:rFonts w:ascii="Calibri" w:hAnsi="Calibri"/>
                <w:b/>
                <w:color w:val="BFBFBF" w:themeColor="background1" w:themeShade="BF"/>
                <w:vertAlign w:val="superscript"/>
              </w:rPr>
              <w:t>1</w:t>
            </w:r>
          </w:p>
        </w:tc>
        <w:tc>
          <w:tcPr>
            <w:tcW w:w="1218" w:type="dxa"/>
          </w:tcPr>
          <w:p w:rsidR="00FD57AF" w:rsidRPr="006D1261" w:rsidRDefault="00FD57AF" w:rsidP="00FD57AF">
            <w:pPr>
              <w:rPr>
                <w:rFonts w:ascii="Calibri" w:hAnsi="Calibri"/>
                <w:b/>
                <w:color w:val="BFBFBF" w:themeColor="background1" w:themeShade="BF"/>
              </w:rPr>
            </w:pPr>
          </w:p>
          <w:p w:rsidR="00FD57AF" w:rsidRPr="006D1261" w:rsidRDefault="006A3E97" w:rsidP="00FD57AF">
            <w:pPr>
              <w:rPr>
                <w:rFonts w:ascii="Calibri" w:hAnsi="Calibri"/>
                <w:b/>
                <w:color w:val="BFBFBF" w:themeColor="background1" w:themeShade="BF"/>
              </w:rPr>
            </w:pP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19</w:t>
            </w:r>
          </w:p>
        </w:tc>
        <w:tc>
          <w:tcPr>
            <w:tcW w:w="2640" w:type="dxa"/>
          </w:tcPr>
          <w:p w:rsidR="00FD57AF" w:rsidRPr="006D1261" w:rsidRDefault="00FD57AF" w:rsidP="00FD57AF">
            <w:pPr>
              <w:rPr>
                <w:rFonts w:ascii="Calibri" w:hAnsi="Calibri"/>
                <w:b/>
                <w:color w:val="BFBFBF" w:themeColor="background1" w:themeShade="BF"/>
              </w:rPr>
            </w:pPr>
          </w:p>
          <w:p w:rsidR="00FD57AF" w:rsidRPr="006D1261" w:rsidRDefault="006A3E97" w:rsidP="00FD57AF">
            <w:pPr>
              <w:rPr>
                <w:rFonts w:ascii="Calibri" w:hAnsi="Calibri"/>
                <w:b/>
                <w:color w:val="BFBFBF" w:themeColor="background1" w:themeShade="BF"/>
              </w:rPr>
            </w:pP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1</w:t>
            </w:r>
            <w:r w:rsidR="006D1261">
              <w:rPr>
                <w:rFonts w:ascii="Calibri" w:hAnsi="Calibri"/>
                <w:b/>
                <w:color w:val="BFBFBF" w:themeColor="background1" w:themeShade="BF"/>
              </w:rPr>
              <w:t>8</w:t>
            </w: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,470</w:t>
            </w:r>
          </w:p>
        </w:tc>
        <w:tc>
          <w:tcPr>
            <w:tcW w:w="1681" w:type="dxa"/>
          </w:tcPr>
          <w:p w:rsidR="00FD57AF" w:rsidRPr="006D1261" w:rsidRDefault="00FD57AF" w:rsidP="00FD57AF">
            <w:pPr>
              <w:rPr>
                <w:rFonts w:ascii="Calibri" w:hAnsi="Calibri"/>
                <w:b/>
                <w:color w:val="BFBFBF" w:themeColor="background1" w:themeShade="BF"/>
              </w:rPr>
            </w:pPr>
          </w:p>
          <w:p w:rsidR="00FD57AF" w:rsidRPr="006D1261" w:rsidRDefault="006A3E97" w:rsidP="006A3E97">
            <w:pPr>
              <w:rPr>
                <w:rFonts w:ascii="Calibri" w:hAnsi="Calibri"/>
                <w:b/>
                <w:color w:val="BFBFBF" w:themeColor="background1" w:themeShade="BF"/>
                <w:vertAlign w:val="superscript"/>
              </w:rPr>
            </w:pP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1</w:t>
            </w:r>
            <w:r w:rsidR="006D1261">
              <w:rPr>
                <w:rFonts w:ascii="Calibri" w:hAnsi="Calibri"/>
                <w:b/>
                <w:color w:val="BFBFBF" w:themeColor="background1" w:themeShade="BF"/>
              </w:rPr>
              <w:t>4</w:t>
            </w: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,685</w:t>
            </w:r>
            <w:r w:rsidRPr="006D1261">
              <w:rPr>
                <w:rFonts w:ascii="Calibri" w:hAnsi="Calibri"/>
                <w:b/>
                <w:color w:val="BFBFBF" w:themeColor="background1" w:themeShade="BF"/>
                <w:vertAlign w:val="superscript"/>
              </w:rPr>
              <w:t>1</w:t>
            </w:r>
          </w:p>
        </w:tc>
        <w:tc>
          <w:tcPr>
            <w:tcW w:w="1248" w:type="dxa"/>
          </w:tcPr>
          <w:p w:rsidR="00FD57AF" w:rsidRPr="006D1261" w:rsidRDefault="00FD57AF" w:rsidP="00FD57AF">
            <w:pPr>
              <w:rPr>
                <w:rFonts w:ascii="Calibri" w:hAnsi="Calibri"/>
                <w:b/>
                <w:color w:val="BFBFBF" w:themeColor="background1" w:themeShade="BF"/>
              </w:rPr>
            </w:pPr>
          </w:p>
          <w:p w:rsidR="00FD57AF" w:rsidRPr="006D1261" w:rsidRDefault="006A3E97" w:rsidP="006A3E97">
            <w:pPr>
              <w:rPr>
                <w:rFonts w:ascii="Calibri" w:hAnsi="Calibri"/>
                <w:b/>
                <w:color w:val="BFBFBF" w:themeColor="background1" w:themeShade="BF"/>
              </w:rPr>
            </w:pPr>
            <w:r w:rsidRPr="006D1261">
              <w:rPr>
                <w:rFonts w:ascii="Calibri" w:hAnsi="Calibri"/>
                <w:b/>
                <w:color w:val="BFBFBF" w:themeColor="background1" w:themeShade="BF"/>
              </w:rPr>
              <w:t>3,785</w:t>
            </w:r>
          </w:p>
        </w:tc>
      </w:tr>
      <w:tr w:rsidR="006D1261" w:rsidRPr="00EC7EEF" w:rsidTr="0067240F">
        <w:tc>
          <w:tcPr>
            <w:tcW w:w="2861" w:type="dxa"/>
          </w:tcPr>
          <w:p w:rsidR="006D1261" w:rsidRDefault="006D1261" w:rsidP="0067240F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</w:rPr>
            </w:pPr>
            <w:r w:rsidRPr="0039529F">
              <w:rPr>
                <w:rFonts w:ascii="Calibri" w:hAnsi="Calibri"/>
                <w:b/>
              </w:rPr>
              <w:t xml:space="preserve">Building 400 </w:t>
            </w:r>
          </w:p>
          <w:p w:rsidR="006D1261" w:rsidRPr="0039529F" w:rsidRDefault="006D1261" w:rsidP="0067240F">
            <w:pPr>
              <w:pStyle w:val="ListParagraph"/>
              <w:ind w:left="360"/>
              <w:jc w:val="left"/>
              <w:rPr>
                <w:rFonts w:ascii="Calibri" w:hAnsi="Calibri"/>
                <w:b/>
              </w:rPr>
            </w:pPr>
            <w:r w:rsidRPr="0039529F">
              <w:rPr>
                <w:rFonts w:ascii="Calibri" w:hAnsi="Calibri"/>
                <w:b/>
              </w:rPr>
              <w:t>Student Center</w:t>
            </w:r>
          </w:p>
        </w:tc>
        <w:tc>
          <w:tcPr>
            <w:tcW w:w="1218" w:type="dxa"/>
          </w:tcPr>
          <w:p w:rsidR="006D1261" w:rsidRPr="00EC7EEF" w:rsidRDefault="006D1261" w:rsidP="0067240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23</w:t>
            </w:r>
          </w:p>
        </w:tc>
        <w:tc>
          <w:tcPr>
            <w:tcW w:w="2640" w:type="dxa"/>
          </w:tcPr>
          <w:p w:rsidR="006D1261" w:rsidRPr="00EC7EEF" w:rsidRDefault="006D1261" w:rsidP="0067240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4,260</w:t>
            </w:r>
          </w:p>
        </w:tc>
        <w:tc>
          <w:tcPr>
            <w:tcW w:w="1681" w:type="dxa"/>
          </w:tcPr>
          <w:p w:rsidR="006D1261" w:rsidRPr="00EC7EEF" w:rsidRDefault="006D1261" w:rsidP="0067240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2,130</w:t>
            </w:r>
          </w:p>
        </w:tc>
        <w:tc>
          <w:tcPr>
            <w:tcW w:w="1248" w:type="dxa"/>
          </w:tcPr>
          <w:p w:rsidR="006D1261" w:rsidRPr="00EC7EEF" w:rsidRDefault="006D1261" w:rsidP="0067240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2,130</w:t>
            </w:r>
          </w:p>
        </w:tc>
      </w:tr>
      <w:tr w:rsidR="00393D38" w:rsidRPr="00EC7EEF" w:rsidTr="00354914">
        <w:tc>
          <w:tcPr>
            <w:tcW w:w="2861" w:type="dxa"/>
          </w:tcPr>
          <w:p w:rsidR="008900DB" w:rsidRDefault="00393D38" w:rsidP="008900D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</w:rPr>
            </w:pPr>
            <w:r w:rsidRPr="00393D38">
              <w:rPr>
                <w:rFonts w:ascii="Calibri" w:hAnsi="Calibri"/>
                <w:b/>
              </w:rPr>
              <w:t xml:space="preserve">Building 600 </w:t>
            </w:r>
          </w:p>
          <w:p w:rsidR="00393D38" w:rsidRPr="00393D38" w:rsidRDefault="00393D38" w:rsidP="008900DB">
            <w:pPr>
              <w:pStyle w:val="ListParagraph"/>
              <w:ind w:left="360"/>
              <w:jc w:val="left"/>
              <w:rPr>
                <w:rFonts w:ascii="Calibri" w:hAnsi="Calibri"/>
                <w:b/>
              </w:rPr>
            </w:pPr>
            <w:r w:rsidRPr="00393D38">
              <w:rPr>
                <w:rFonts w:ascii="Calibri" w:hAnsi="Calibri"/>
                <w:b/>
              </w:rPr>
              <w:t>Shaw Learning Center</w:t>
            </w:r>
          </w:p>
        </w:tc>
        <w:tc>
          <w:tcPr>
            <w:tcW w:w="1218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22</w:t>
            </w:r>
          </w:p>
        </w:tc>
        <w:tc>
          <w:tcPr>
            <w:tcW w:w="2640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7,126</w:t>
            </w:r>
          </w:p>
        </w:tc>
        <w:tc>
          <w:tcPr>
            <w:tcW w:w="1681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  <w:vertAlign w:val="superscript"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3,563</w:t>
            </w:r>
          </w:p>
        </w:tc>
        <w:tc>
          <w:tcPr>
            <w:tcW w:w="1248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3,563</w:t>
            </w:r>
          </w:p>
        </w:tc>
      </w:tr>
      <w:tr w:rsidR="00FD57AF" w:rsidRPr="00EC7EEF" w:rsidTr="00354914">
        <w:tc>
          <w:tcPr>
            <w:tcW w:w="2861" w:type="dxa"/>
          </w:tcPr>
          <w:p w:rsidR="00FD57AF" w:rsidRPr="00EC7EEF" w:rsidRDefault="00FD57AF" w:rsidP="008900D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Building 700 Administration and Student Services</w:t>
            </w:r>
          </w:p>
        </w:tc>
        <w:tc>
          <w:tcPr>
            <w:tcW w:w="1218" w:type="dxa"/>
          </w:tcPr>
          <w:p w:rsidR="00FD57AF" w:rsidRPr="00EC7EEF" w:rsidRDefault="006A3E97" w:rsidP="00FD57A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24</w:t>
            </w:r>
          </w:p>
        </w:tc>
        <w:tc>
          <w:tcPr>
            <w:tcW w:w="2640" w:type="dxa"/>
          </w:tcPr>
          <w:p w:rsidR="00FD57AF" w:rsidRPr="00EC7EEF" w:rsidRDefault="00FD57AF" w:rsidP="006A3E97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4,</w:t>
            </w:r>
            <w:r w:rsidR="006A3E97" w:rsidRPr="00EC7EEF">
              <w:rPr>
                <w:rFonts w:ascii="Calibri" w:hAnsi="Calibri"/>
                <w:b/>
              </w:rPr>
              <w:t>578</w:t>
            </w:r>
          </w:p>
        </w:tc>
        <w:tc>
          <w:tcPr>
            <w:tcW w:w="1681" w:type="dxa"/>
          </w:tcPr>
          <w:p w:rsidR="00FD57AF" w:rsidRPr="00EC7EEF" w:rsidRDefault="00FD57AF" w:rsidP="006A3E97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</w:t>
            </w:r>
            <w:r w:rsidR="006A3E97" w:rsidRPr="00EC7EEF">
              <w:rPr>
                <w:rFonts w:ascii="Calibri" w:hAnsi="Calibri"/>
                <w:b/>
              </w:rPr>
              <w:t>289</w:t>
            </w:r>
          </w:p>
        </w:tc>
        <w:tc>
          <w:tcPr>
            <w:tcW w:w="1248" w:type="dxa"/>
          </w:tcPr>
          <w:p w:rsidR="00FD57AF" w:rsidRPr="00EC7EEF" w:rsidRDefault="00FD57AF" w:rsidP="006A3E97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</w:t>
            </w:r>
            <w:r w:rsidR="006A3E97" w:rsidRPr="00EC7EEF">
              <w:rPr>
                <w:rFonts w:ascii="Calibri" w:hAnsi="Calibri"/>
                <w:b/>
              </w:rPr>
              <w:t>289</w:t>
            </w:r>
          </w:p>
        </w:tc>
      </w:tr>
      <w:tr w:rsidR="00354914" w:rsidRPr="00354914" w:rsidTr="00354914">
        <w:tc>
          <w:tcPr>
            <w:tcW w:w="2861" w:type="dxa"/>
          </w:tcPr>
          <w:p w:rsidR="0039529F" w:rsidRPr="00354914" w:rsidRDefault="0039529F" w:rsidP="00354914">
            <w:pPr>
              <w:pStyle w:val="ListParagraph"/>
              <w:ind w:left="360"/>
              <w:jc w:val="left"/>
              <w:rPr>
                <w:rFonts w:ascii="Calibri" w:hAnsi="Calibri"/>
                <w:b/>
                <w:strike/>
                <w:color w:val="BFBFBF" w:themeColor="background1" w:themeShade="BF"/>
              </w:rPr>
            </w:pPr>
            <w:r w:rsidRPr="00354914">
              <w:rPr>
                <w:rFonts w:ascii="Calibri" w:hAnsi="Calibri"/>
                <w:b/>
                <w:strike/>
                <w:color w:val="BFBFBF" w:themeColor="background1" w:themeShade="BF"/>
              </w:rPr>
              <w:t>Parking Lot Expansions</w:t>
            </w:r>
            <w:r w:rsidRPr="00354914">
              <w:rPr>
                <w:rStyle w:val="FootnoteReference"/>
                <w:strike/>
                <w:color w:val="BFBFBF" w:themeColor="background1" w:themeShade="BF"/>
              </w:rPr>
              <w:t>2</w:t>
            </w:r>
          </w:p>
        </w:tc>
        <w:tc>
          <w:tcPr>
            <w:tcW w:w="1218" w:type="dxa"/>
          </w:tcPr>
          <w:p w:rsidR="0039529F" w:rsidRPr="00354914" w:rsidRDefault="0039529F" w:rsidP="0039529F">
            <w:pPr>
              <w:rPr>
                <w:rFonts w:ascii="Calibri" w:hAnsi="Calibri"/>
                <w:b/>
                <w:strike/>
                <w:color w:val="BFBFBF" w:themeColor="background1" w:themeShade="BF"/>
              </w:rPr>
            </w:pPr>
            <w:r w:rsidRPr="00354914">
              <w:rPr>
                <w:rFonts w:ascii="Calibri" w:hAnsi="Calibri"/>
                <w:b/>
                <w:strike/>
                <w:color w:val="BFBFBF" w:themeColor="background1" w:themeShade="BF"/>
              </w:rPr>
              <w:t>21</w:t>
            </w:r>
          </w:p>
        </w:tc>
        <w:tc>
          <w:tcPr>
            <w:tcW w:w="2640" w:type="dxa"/>
          </w:tcPr>
          <w:p w:rsidR="0039529F" w:rsidRPr="00354914" w:rsidRDefault="0039529F" w:rsidP="0039529F">
            <w:pPr>
              <w:rPr>
                <w:rFonts w:ascii="Calibri" w:hAnsi="Calibri"/>
                <w:b/>
                <w:strike/>
                <w:color w:val="BFBFBF" w:themeColor="background1" w:themeShade="BF"/>
              </w:rPr>
            </w:pPr>
            <w:r w:rsidRPr="00354914">
              <w:rPr>
                <w:rFonts w:ascii="Calibri" w:hAnsi="Calibri"/>
                <w:b/>
                <w:strike/>
                <w:color w:val="BFBFBF" w:themeColor="background1" w:themeShade="BF"/>
              </w:rPr>
              <w:t>286</w:t>
            </w:r>
          </w:p>
        </w:tc>
        <w:tc>
          <w:tcPr>
            <w:tcW w:w="1681" w:type="dxa"/>
          </w:tcPr>
          <w:p w:rsidR="0039529F" w:rsidRPr="00354914" w:rsidRDefault="0039529F" w:rsidP="0039529F">
            <w:pPr>
              <w:rPr>
                <w:rFonts w:ascii="Calibri" w:hAnsi="Calibri"/>
                <w:b/>
                <w:strike/>
                <w:color w:val="BFBFBF" w:themeColor="background1" w:themeShade="BF"/>
              </w:rPr>
            </w:pPr>
            <w:r w:rsidRPr="00354914">
              <w:rPr>
                <w:rFonts w:ascii="Calibri" w:hAnsi="Calibri"/>
                <w:b/>
                <w:strike/>
                <w:color w:val="BFBFBF" w:themeColor="background1" w:themeShade="BF"/>
              </w:rPr>
              <w:t>-</w:t>
            </w:r>
          </w:p>
        </w:tc>
        <w:tc>
          <w:tcPr>
            <w:tcW w:w="1248" w:type="dxa"/>
          </w:tcPr>
          <w:p w:rsidR="0039529F" w:rsidRPr="00354914" w:rsidRDefault="0039529F" w:rsidP="0039529F">
            <w:pPr>
              <w:rPr>
                <w:rFonts w:ascii="Calibri" w:hAnsi="Calibri"/>
                <w:b/>
                <w:strike/>
                <w:color w:val="BFBFBF" w:themeColor="background1" w:themeShade="BF"/>
              </w:rPr>
            </w:pPr>
            <w:r w:rsidRPr="00354914">
              <w:rPr>
                <w:rFonts w:ascii="Calibri" w:hAnsi="Calibri"/>
                <w:b/>
                <w:strike/>
                <w:color w:val="BFBFBF" w:themeColor="background1" w:themeShade="BF"/>
              </w:rPr>
              <w:t>286</w:t>
            </w:r>
          </w:p>
        </w:tc>
      </w:tr>
      <w:tr w:rsidR="00FD57AF" w:rsidRPr="00EC7EEF" w:rsidTr="00354914">
        <w:tc>
          <w:tcPr>
            <w:tcW w:w="2861" w:type="dxa"/>
          </w:tcPr>
          <w:p w:rsidR="00FD57AF" w:rsidRPr="00EC7EEF" w:rsidRDefault="006A3E97" w:rsidP="008900D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Turf Fields</w:t>
            </w:r>
            <w:r w:rsidRPr="00EC7EEF">
              <w:rPr>
                <w:rFonts w:ascii="Calibri" w:hAnsi="Calibri"/>
                <w:b/>
                <w:vertAlign w:val="superscript"/>
              </w:rPr>
              <w:t>2</w:t>
            </w:r>
          </w:p>
        </w:tc>
        <w:tc>
          <w:tcPr>
            <w:tcW w:w="1218" w:type="dxa"/>
          </w:tcPr>
          <w:p w:rsidR="00FD57AF" w:rsidRPr="00EC7EEF" w:rsidRDefault="00FD57AF" w:rsidP="006A3E97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</w:t>
            </w:r>
            <w:r w:rsidR="00354914">
              <w:rPr>
                <w:rFonts w:ascii="Calibri" w:hAnsi="Calibri"/>
                <w:b/>
              </w:rPr>
              <w:t>2</w:t>
            </w:r>
          </w:p>
        </w:tc>
        <w:tc>
          <w:tcPr>
            <w:tcW w:w="2640" w:type="dxa"/>
          </w:tcPr>
          <w:p w:rsidR="00FD57AF" w:rsidRPr="00EC7EEF" w:rsidRDefault="006A3E97" w:rsidP="00FD57A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2,000</w:t>
            </w:r>
          </w:p>
        </w:tc>
        <w:tc>
          <w:tcPr>
            <w:tcW w:w="1681" w:type="dxa"/>
          </w:tcPr>
          <w:p w:rsidR="00FD57AF" w:rsidRPr="00EC7EEF" w:rsidRDefault="00FD57AF" w:rsidP="00FD57A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-</w:t>
            </w:r>
          </w:p>
        </w:tc>
        <w:tc>
          <w:tcPr>
            <w:tcW w:w="1248" w:type="dxa"/>
          </w:tcPr>
          <w:p w:rsidR="00FD57AF" w:rsidRPr="00EC7EEF" w:rsidRDefault="006A3E97" w:rsidP="00FD57A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2,000</w:t>
            </w:r>
          </w:p>
        </w:tc>
      </w:tr>
      <w:tr w:rsidR="00393D38" w:rsidRPr="00EC7EEF" w:rsidTr="00354914">
        <w:tc>
          <w:tcPr>
            <w:tcW w:w="2861" w:type="dxa"/>
          </w:tcPr>
          <w:p w:rsidR="00393D38" w:rsidRPr="00393D38" w:rsidRDefault="00393D38" w:rsidP="008900D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</w:rPr>
            </w:pPr>
            <w:r w:rsidRPr="00393D38">
              <w:rPr>
                <w:rFonts w:ascii="Calibri" w:hAnsi="Calibri"/>
                <w:b/>
              </w:rPr>
              <w:t>Center for Adventure and Outdoor Studies Addition</w:t>
            </w:r>
            <w:r w:rsidRPr="00393D38">
              <w:rPr>
                <w:rFonts w:ascii="Calibri" w:hAnsi="Calibri"/>
                <w:b/>
                <w:vertAlign w:val="superscript"/>
              </w:rPr>
              <w:t>2</w:t>
            </w:r>
          </w:p>
        </w:tc>
        <w:tc>
          <w:tcPr>
            <w:tcW w:w="1218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354914">
              <w:rPr>
                <w:rFonts w:ascii="Calibri" w:hAnsi="Calibri"/>
                <w:b/>
              </w:rPr>
              <w:t>3</w:t>
            </w:r>
          </w:p>
        </w:tc>
        <w:tc>
          <w:tcPr>
            <w:tcW w:w="2640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1,273</w:t>
            </w:r>
          </w:p>
        </w:tc>
        <w:tc>
          <w:tcPr>
            <w:tcW w:w="1681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-</w:t>
            </w:r>
          </w:p>
        </w:tc>
        <w:tc>
          <w:tcPr>
            <w:tcW w:w="1248" w:type="dxa"/>
          </w:tcPr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</w:p>
          <w:p w:rsidR="00393D38" w:rsidRPr="00EC7EEF" w:rsidRDefault="00393D38" w:rsidP="002638F6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1,273</w:t>
            </w:r>
          </w:p>
        </w:tc>
      </w:tr>
      <w:tr w:rsidR="00FD57AF" w:rsidRPr="00EC7EEF" w:rsidTr="00354914">
        <w:tc>
          <w:tcPr>
            <w:tcW w:w="2861" w:type="dxa"/>
          </w:tcPr>
          <w:p w:rsidR="00FD57AF" w:rsidRPr="00EC7EEF" w:rsidRDefault="00FD57AF" w:rsidP="008900D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Biomass Plant</w:t>
            </w:r>
            <w:r w:rsidR="00E67A52">
              <w:rPr>
                <w:rFonts w:ascii="Calibri" w:hAnsi="Calibri"/>
                <w:b/>
                <w:vertAlign w:val="superscript"/>
              </w:rPr>
              <w:t>2</w:t>
            </w:r>
          </w:p>
        </w:tc>
        <w:tc>
          <w:tcPr>
            <w:tcW w:w="1218" w:type="dxa"/>
          </w:tcPr>
          <w:p w:rsidR="00FD57AF" w:rsidRPr="00EC7EEF" w:rsidRDefault="006A3E97" w:rsidP="00FD57A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</w:t>
            </w:r>
            <w:r w:rsidR="00354914">
              <w:rPr>
                <w:rFonts w:ascii="Calibri" w:hAnsi="Calibri"/>
                <w:b/>
              </w:rPr>
              <w:t>4</w:t>
            </w:r>
          </w:p>
        </w:tc>
        <w:tc>
          <w:tcPr>
            <w:tcW w:w="2640" w:type="dxa"/>
          </w:tcPr>
          <w:p w:rsidR="00FD57AF" w:rsidRPr="00EC7EEF" w:rsidRDefault="00FD57AF" w:rsidP="00EC7EE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</w:t>
            </w:r>
            <w:r w:rsidR="00EC7EEF" w:rsidRPr="00EC7EEF">
              <w:rPr>
                <w:rFonts w:ascii="Calibri" w:hAnsi="Calibri"/>
                <w:b/>
              </w:rPr>
              <w:t>558</w:t>
            </w:r>
          </w:p>
        </w:tc>
        <w:tc>
          <w:tcPr>
            <w:tcW w:w="1681" w:type="dxa"/>
          </w:tcPr>
          <w:p w:rsidR="00FD57AF" w:rsidRPr="00EC7EEF" w:rsidRDefault="00FD57AF" w:rsidP="00FD57A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-</w:t>
            </w:r>
          </w:p>
        </w:tc>
        <w:tc>
          <w:tcPr>
            <w:tcW w:w="1248" w:type="dxa"/>
          </w:tcPr>
          <w:p w:rsidR="000D39A2" w:rsidRPr="00EC7EEF" w:rsidRDefault="00FD57AF" w:rsidP="0039529F">
            <w:pPr>
              <w:rPr>
                <w:rFonts w:ascii="Calibri" w:hAnsi="Calibri"/>
                <w:b/>
              </w:rPr>
            </w:pPr>
            <w:r w:rsidRPr="00EC7EEF">
              <w:rPr>
                <w:rFonts w:ascii="Calibri" w:hAnsi="Calibri"/>
                <w:b/>
              </w:rPr>
              <w:t>2,</w:t>
            </w:r>
            <w:r w:rsidR="00EC7EEF" w:rsidRPr="00EC7EEF">
              <w:rPr>
                <w:rFonts w:ascii="Calibri" w:hAnsi="Calibri"/>
                <w:b/>
              </w:rPr>
              <w:t>558</w:t>
            </w:r>
          </w:p>
        </w:tc>
      </w:tr>
    </w:tbl>
    <w:p w:rsidR="00844FF6" w:rsidRPr="00582B71" w:rsidRDefault="00844FF6" w:rsidP="00844FF6">
      <w:pPr>
        <w:rPr>
          <w:rFonts w:ascii="Calibri" w:hAnsi="Calibri"/>
          <w:b/>
          <w:highlight w:val="yellow"/>
        </w:rPr>
      </w:pPr>
    </w:p>
    <w:p w:rsidR="00EC7EEF" w:rsidRDefault="0039529F" w:rsidP="00EC7EEF">
      <w:pPr>
        <w:pStyle w:val="FootnoteText"/>
        <w:jc w:val="left"/>
      </w:pPr>
      <w:r>
        <w:rPr>
          <w:vertAlign w:val="superscript"/>
        </w:rPr>
        <w:t>1</w:t>
      </w:r>
      <w:r w:rsidR="003C28A3">
        <w:t xml:space="preserve"> </w:t>
      </w:r>
      <w:r w:rsidR="00354914">
        <w:t xml:space="preserve">This project is currently in the construction contractor bid stage.  </w:t>
      </w:r>
      <w:r w:rsidR="00EC7EEF" w:rsidRPr="00E67A52">
        <w:t>F</w:t>
      </w:r>
      <w:r w:rsidR="00E67A52" w:rsidRPr="00E67A52">
        <w:t xml:space="preserve">unding </w:t>
      </w:r>
      <w:r w:rsidR="00354914">
        <w:t xml:space="preserve">is </w:t>
      </w:r>
      <w:r w:rsidR="00E67A52" w:rsidRPr="00E67A52">
        <w:t xml:space="preserve">through the CCCIP </w:t>
      </w:r>
      <w:r w:rsidR="00354914">
        <w:t xml:space="preserve">(A&amp;E) </w:t>
      </w:r>
      <w:r w:rsidR="00E67A52" w:rsidRPr="00E67A52">
        <w:t>and the Governor’s Miscellaneous Fund</w:t>
      </w:r>
      <w:r w:rsidR="00354914">
        <w:t xml:space="preserve"> (construction and equipment)</w:t>
      </w:r>
      <w:r w:rsidR="00E67A52" w:rsidRPr="00E67A52">
        <w:t>.</w:t>
      </w:r>
    </w:p>
    <w:p w:rsidR="0002243A" w:rsidRPr="00766978" w:rsidRDefault="00EC7EEF" w:rsidP="00EC7EEF">
      <w:pPr>
        <w:jc w:val="left"/>
        <w:rPr>
          <w:sz w:val="20"/>
          <w:szCs w:val="20"/>
        </w:rPr>
      </w:pPr>
      <w:r>
        <w:rPr>
          <w:vertAlign w:val="superscript"/>
        </w:rPr>
        <w:t xml:space="preserve">2  </w:t>
      </w:r>
      <w:r w:rsidRPr="00766978">
        <w:rPr>
          <w:sz w:val="20"/>
          <w:szCs w:val="20"/>
        </w:rPr>
        <w:t>State funding not being requested at this time.</w:t>
      </w:r>
    </w:p>
    <w:p w:rsidR="00EC1109" w:rsidRDefault="00EC1109" w:rsidP="00534BC8">
      <w:pPr>
        <w:jc w:val="left"/>
        <w:rPr>
          <w:rFonts w:cstheme="minorHAnsi"/>
          <w:b/>
          <w:i/>
        </w:rPr>
      </w:pPr>
    </w:p>
    <w:p w:rsidR="00354914" w:rsidRPr="00364113" w:rsidRDefault="00364113" w:rsidP="00354914">
      <w:pPr>
        <w:jc w:val="left"/>
        <w:rPr>
          <w:b/>
          <w:sz w:val="28"/>
          <w:szCs w:val="28"/>
          <w:u w:val="single"/>
        </w:rPr>
      </w:pPr>
      <w:r w:rsidRPr="00364113">
        <w:rPr>
          <w:b/>
          <w:sz w:val="28"/>
          <w:szCs w:val="28"/>
          <w:u w:val="single"/>
        </w:rPr>
        <w:lastRenderedPageBreak/>
        <w:t>II</w:t>
      </w:r>
      <w:r w:rsidR="00354914" w:rsidRPr="00364113">
        <w:rPr>
          <w:b/>
          <w:sz w:val="28"/>
          <w:szCs w:val="28"/>
          <w:u w:val="single"/>
        </w:rPr>
        <w:t>. Facilities Renewal Program</w:t>
      </w:r>
    </w:p>
    <w:p w:rsidR="00354914" w:rsidRDefault="00354914" w:rsidP="00354914">
      <w:pPr>
        <w:jc w:val="left"/>
        <w:rPr>
          <w:b/>
          <w:sz w:val="28"/>
          <w:szCs w:val="28"/>
        </w:rPr>
      </w:pPr>
    </w:p>
    <w:p w:rsidR="00364113" w:rsidRPr="00E746A7" w:rsidRDefault="00364113" w:rsidP="00E746A7">
      <w:pPr>
        <w:pStyle w:val="NoSpacing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Garrett</w:t>
      </w:r>
      <w:r w:rsidR="00354914">
        <w:rPr>
          <w:sz w:val="24"/>
          <w:szCs w:val="24"/>
        </w:rPr>
        <w:t xml:space="preserve"> College has a 5-year </w:t>
      </w:r>
      <w:r w:rsidR="00E746A7">
        <w:rPr>
          <w:sz w:val="24"/>
          <w:szCs w:val="24"/>
        </w:rPr>
        <w:t xml:space="preserve">Facilities Renewal </w:t>
      </w:r>
      <w:r w:rsidR="00354914">
        <w:rPr>
          <w:sz w:val="24"/>
          <w:szCs w:val="24"/>
        </w:rPr>
        <w:t xml:space="preserve">Plan that </w:t>
      </w:r>
      <w:r w:rsidR="00E746A7">
        <w:rPr>
          <w:sz w:val="24"/>
          <w:szCs w:val="24"/>
        </w:rPr>
        <w:t>is updated annually.  W</w:t>
      </w:r>
      <w:r w:rsidR="00354914">
        <w:rPr>
          <w:sz w:val="24"/>
          <w:szCs w:val="24"/>
        </w:rPr>
        <w:t xml:space="preserve">e plan to fund </w:t>
      </w:r>
      <w:r w:rsidR="00E746A7">
        <w:rPr>
          <w:sz w:val="24"/>
          <w:szCs w:val="24"/>
        </w:rPr>
        <w:t>most of the</w:t>
      </w:r>
      <w:r w:rsidR="008E4CFF">
        <w:rPr>
          <w:sz w:val="24"/>
          <w:szCs w:val="24"/>
        </w:rPr>
        <w:t>se</w:t>
      </w:r>
      <w:r w:rsidR="00E746A7">
        <w:rPr>
          <w:sz w:val="24"/>
          <w:szCs w:val="24"/>
        </w:rPr>
        <w:t xml:space="preserve"> projects </w:t>
      </w:r>
      <w:r w:rsidR="00354914">
        <w:rPr>
          <w:sz w:val="24"/>
          <w:szCs w:val="24"/>
        </w:rPr>
        <w:t xml:space="preserve">through the Facilities Renewal Grant.  </w:t>
      </w:r>
      <w:r w:rsidR="00354914" w:rsidRPr="005B60C6">
        <w:rPr>
          <w:sz w:val="24"/>
          <w:szCs w:val="24"/>
        </w:rPr>
        <w:t>Garrett College</w:t>
      </w:r>
      <w:r w:rsidR="00354914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354914">
        <w:rPr>
          <w:sz w:val="24"/>
          <w:szCs w:val="24"/>
        </w:rPr>
        <w:t xml:space="preserve"> one of the colleges</w:t>
      </w:r>
      <w:r>
        <w:rPr>
          <w:sz w:val="24"/>
          <w:szCs w:val="24"/>
        </w:rPr>
        <w:t xml:space="preserve"> on the funding list for</w:t>
      </w:r>
      <w:r w:rsidR="00354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Facilities Renewal Grant in </w:t>
      </w:r>
      <w:r w:rsidR="00354914">
        <w:rPr>
          <w:sz w:val="24"/>
          <w:szCs w:val="24"/>
        </w:rPr>
        <w:t>FY21.</w:t>
      </w:r>
      <w:r w:rsidR="00E746A7">
        <w:rPr>
          <w:sz w:val="24"/>
          <w:szCs w:val="24"/>
        </w:rPr>
        <w:t xml:space="preserve">  See Attachment.</w:t>
      </w:r>
    </w:p>
    <w:p w:rsidR="00E746A7" w:rsidRDefault="00E746A7" w:rsidP="00EB79BD">
      <w:pPr>
        <w:jc w:val="left"/>
      </w:pPr>
    </w:p>
    <w:sectPr w:rsidR="00E746A7" w:rsidSect="00E67A52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26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904" w:rsidRDefault="00B46904" w:rsidP="00614CF1">
      <w:r>
        <w:separator/>
      </w:r>
    </w:p>
  </w:endnote>
  <w:endnote w:type="continuationSeparator" w:id="0">
    <w:p w:rsidR="00B46904" w:rsidRDefault="00B46904" w:rsidP="006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Footer"/>
    </w:pPr>
  </w:p>
  <w:p w:rsidR="00B46904" w:rsidRDefault="00B4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407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904" w:rsidRDefault="00B469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46904" w:rsidRDefault="00B4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904" w:rsidRDefault="00B46904" w:rsidP="00614CF1">
      <w:r>
        <w:separator/>
      </w:r>
    </w:p>
  </w:footnote>
  <w:footnote w:type="continuationSeparator" w:id="0">
    <w:p w:rsidR="00B46904" w:rsidRDefault="00B46904" w:rsidP="0061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04" w:rsidRDefault="00B4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766"/>
    <w:multiLevelType w:val="hybridMultilevel"/>
    <w:tmpl w:val="674C2F00"/>
    <w:lvl w:ilvl="0" w:tplc="2DE62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4A66E8E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7082D2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83ABB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CE890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9F476B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34B45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B209C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74C012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33D6508"/>
    <w:multiLevelType w:val="hybridMultilevel"/>
    <w:tmpl w:val="499C54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4A66E8E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7082D2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83ABB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CE890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9F476B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34B45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B209C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74C0124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80F38E9"/>
    <w:multiLevelType w:val="hybridMultilevel"/>
    <w:tmpl w:val="E2F69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DA2"/>
    <w:multiLevelType w:val="hybridMultilevel"/>
    <w:tmpl w:val="51CC5B9E"/>
    <w:lvl w:ilvl="0" w:tplc="7FA424D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ABC"/>
    <w:multiLevelType w:val="hybridMultilevel"/>
    <w:tmpl w:val="97587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1357A"/>
    <w:multiLevelType w:val="hybridMultilevel"/>
    <w:tmpl w:val="3708788C"/>
    <w:lvl w:ilvl="0" w:tplc="2DE62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D23A3"/>
    <w:multiLevelType w:val="hybridMultilevel"/>
    <w:tmpl w:val="DD442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2948"/>
    <w:multiLevelType w:val="multilevel"/>
    <w:tmpl w:val="B0E83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75BAD"/>
    <w:multiLevelType w:val="hybridMultilevel"/>
    <w:tmpl w:val="3708788C"/>
    <w:lvl w:ilvl="0" w:tplc="2DE62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166BC"/>
    <w:multiLevelType w:val="hybridMultilevel"/>
    <w:tmpl w:val="3708788C"/>
    <w:lvl w:ilvl="0" w:tplc="2DE62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247ED"/>
    <w:multiLevelType w:val="hybridMultilevel"/>
    <w:tmpl w:val="0D30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5701"/>
    <w:multiLevelType w:val="hybridMultilevel"/>
    <w:tmpl w:val="872AFB64"/>
    <w:lvl w:ilvl="0" w:tplc="EDE2C10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E1C84"/>
    <w:multiLevelType w:val="hybridMultilevel"/>
    <w:tmpl w:val="C20A9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23997"/>
    <w:multiLevelType w:val="hybridMultilevel"/>
    <w:tmpl w:val="3708788C"/>
    <w:lvl w:ilvl="0" w:tplc="2DE62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F8157A5"/>
    <w:multiLevelType w:val="hybridMultilevel"/>
    <w:tmpl w:val="0F0A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7D0E"/>
    <w:multiLevelType w:val="hybridMultilevel"/>
    <w:tmpl w:val="7DD60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576C"/>
    <w:multiLevelType w:val="hybridMultilevel"/>
    <w:tmpl w:val="37C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A31B8"/>
    <w:multiLevelType w:val="hybridMultilevel"/>
    <w:tmpl w:val="5C9E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396B"/>
    <w:multiLevelType w:val="hybridMultilevel"/>
    <w:tmpl w:val="6E3E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6EF6"/>
    <w:multiLevelType w:val="multilevel"/>
    <w:tmpl w:val="67488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CFC17E8"/>
    <w:multiLevelType w:val="hybridMultilevel"/>
    <w:tmpl w:val="8DE2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3FB"/>
    <w:multiLevelType w:val="hybridMultilevel"/>
    <w:tmpl w:val="3708788C"/>
    <w:lvl w:ilvl="0" w:tplc="2DE62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17"/>
  </w:num>
  <w:num w:numId="8">
    <w:abstractNumId w:val="18"/>
  </w:num>
  <w:num w:numId="9">
    <w:abstractNumId w:val="12"/>
  </w:num>
  <w:num w:numId="10">
    <w:abstractNumId w:val="20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3"/>
  </w:num>
  <w:num w:numId="16">
    <w:abstractNumId w:val="4"/>
  </w:num>
  <w:num w:numId="17">
    <w:abstractNumId w:val="9"/>
  </w:num>
  <w:num w:numId="18">
    <w:abstractNumId w:val="5"/>
  </w:num>
  <w:num w:numId="19">
    <w:abstractNumId w:val="8"/>
  </w:num>
  <w:num w:numId="20">
    <w:abstractNumId w:val="21"/>
  </w:num>
  <w:num w:numId="21">
    <w:abstractNumId w:val="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72"/>
    <w:rsid w:val="00000F1E"/>
    <w:rsid w:val="00001694"/>
    <w:rsid w:val="00001702"/>
    <w:rsid w:val="000222E3"/>
    <w:rsid w:val="0002243A"/>
    <w:rsid w:val="00022647"/>
    <w:rsid w:val="00024E01"/>
    <w:rsid w:val="00026784"/>
    <w:rsid w:val="00030F11"/>
    <w:rsid w:val="00031120"/>
    <w:rsid w:val="00040492"/>
    <w:rsid w:val="0004182E"/>
    <w:rsid w:val="00042909"/>
    <w:rsid w:val="00043C88"/>
    <w:rsid w:val="000452C3"/>
    <w:rsid w:val="00050B81"/>
    <w:rsid w:val="00053AF0"/>
    <w:rsid w:val="00055044"/>
    <w:rsid w:val="00056049"/>
    <w:rsid w:val="00074222"/>
    <w:rsid w:val="00074CD6"/>
    <w:rsid w:val="00075F8C"/>
    <w:rsid w:val="000779B2"/>
    <w:rsid w:val="00082625"/>
    <w:rsid w:val="00082BCD"/>
    <w:rsid w:val="00084BBA"/>
    <w:rsid w:val="000874B6"/>
    <w:rsid w:val="00087B86"/>
    <w:rsid w:val="0009327A"/>
    <w:rsid w:val="00096574"/>
    <w:rsid w:val="000A703C"/>
    <w:rsid w:val="000A7763"/>
    <w:rsid w:val="000B1BCF"/>
    <w:rsid w:val="000B4D28"/>
    <w:rsid w:val="000C0F6B"/>
    <w:rsid w:val="000C1994"/>
    <w:rsid w:val="000C24A3"/>
    <w:rsid w:val="000C4B8C"/>
    <w:rsid w:val="000D2AD5"/>
    <w:rsid w:val="000D39A2"/>
    <w:rsid w:val="000D76CC"/>
    <w:rsid w:val="000E2377"/>
    <w:rsid w:val="000E5026"/>
    <w:rsid w:val="000E61C6"/>
    <w:rsid w:val="000E67DC"/>
    <w:rsid w:val="000E69C4"/>
    <w:rsid w:val="000F0266"/>
    <w:rsid w:val="000F1FAD"/>
    <w:rsid w:val="000F29CD"/>
    <w:rsid w:val="000F3AF5"/>
    <w:rsid w:val="000F41C0"/>
    <w:rsid w:val="000F585B"/>
    <w:rsid w:val="00100AB2"/>
    <w:rsid w:val="00105045"/>
    <w:rsid w:val="00105721"/>
    <w:rsid w:val="001211C0"/>
    <w:rsid w:val="00121829"/>
    <w:rsid w:val="00124FE6"/>
    <w:rsid w:val="0012516A"/>
    <w:rsid w:val="00126082"/>
    <w:rsid w:val="00134B6A"/>
    <w:rsid w:val="0013549C"/>
    <w:rsid w:val="001415CE"/>
    <w:rsid w:val="001467F0"/>
    <w:rsid w:val="00146CC4"/>
    <w:rsid w:val="001524AA"/>
    <w:rsid w:val="001527F7"/>
    <w:rsid w:val="00153C61"/>
    <w:rsid w:val="00160E28"/>
    <w:rsid w:val="00161BF5"/>
    <w:rsid w:val="001636D1"/>
    <w:rsid w:val="00164779"/>
    <w:rsid w:val="00164C5E"/>
    <w:rsid w:val="00167443"/>
    <w:rsid w:val="00171349"/>
    <w:rsid w:val="001738EE"/>
    <w:rsid w:val="00174581"/>
    <w:rsid w:val="00176015"/>
    <w:rsid w:val="00181F5B"/>
    <w:rsid w:val="0019408F"/>
    <w:rsid w:val="0019442B"/>
    <w:rsid w:val="001A0D77"/>
    <w:rsid w:val="001A2691"/>
    <w:rsid w:val="001B1AF4"/>
    <w:rsid w:val="001B49B7"/>
    <w:rsid w:val="001B5A6F"/>
    <w:rsid w:val="001B6B45"/>
    <w:rsid w:val="001C1C8B"/>
    <w:rsid w:val="001C5FC1"/>
    <w:rsid w:val="001C7367"/>
    <w:rsid w:val="001D05A4"/>
    <w:rsid w:val="001D2C72"/>
    <w:rsid w:val="001D5715"/>
    <w:rsid w:val="001D7554"/>
    <w:rsid w:val="001E4E73"/>
    <w:rsid w:val="001E555C"/>
    <w:rsid w:val="001E5B03"/>
    <w:rsid w:val="001E6150"/>
    <w:rsid w:val="001E7A37"/>
    <w:rsid w:val="001E7DCD"/>
    <w:rsid w:val="001F6B4D"/>
    <w:rsid w:val="002007CD"/>
    <w:rsid w:val="002010BC"/>
    <w:rsid w:val="00202743"/>
    <w:rsid w:val="00202E6A"/>
    <w:rsid w:val="00203CA2"/>
    <w:rsid w:val="0020651E"/>
    <w:rsid w:val="00212678"/>
    <w:rsid w:val="0021703B"/>
    <w:rsid w:val="00221D22"/>
    <w:rsid w:val="00232E8D"/>
    <w:rsid w:val="00235EEC"/>
    <w:rsid w:val="0023668D"/>
    <w:rsid w:val="0023753D"/>
    <w:rsid w:val="00237A80"/>
    <w:rsid w:val="00241BF0"/>
    <w:rsid w:val="00242494"/>
    <w:rsid w:val="00245458"/>
    <w:rsid w:val="002456BD"/>
    <w:rsid w:val="00245848"/>
    <w:rsid w:val="00247072"/>
    <w:rsid w:val="0025078B"/>
    <w:rsid w:val="002564BB"/>
    <w:rsid w:val="00257D66"/>
    <w:rsid w:val="00261362"/>
    <w:rsid w:val="002638F6"/>
    <w:rsid w:val="00265DA1"/>
    <w:rsid w:val="00270A78"/>
    <w:rsid w:val="00283366"/>
    <w:rsid w:val="00283735"/>
    <w:rsid w:val="0028457E"/>
    <w:rsid w:val="0029709B"/>
    <w:rsid w:val="002A039D"/>
    <w:rsid w:val="002A139A"/>
    <w:rsid w:val="002B10B4"/>
    <w:rsid w:val="002B1EBE"/>
    <w:rsid w:val="002B3B45"/>
    <w:rsid w:val="002B4243"/>
    <w:rsid w:val="002B5572"/>
    <w:rsid w:val="002B6D9B"/>
    <w:rsid w:val="002C29B5"/>
    <w:rsid w:val="002D4A8D"/>
    <w:rsid w:val="002D67A2"/>
    <w:rsid w:val="002E0A72"/>
    <w:rsid w:val="002E1B4E"/>
    <w:rsid w:val="002E5D6D"/>
    <w:rsid w:val="002F1A54"/>
    <w:rsid w:val="002F1E00"/>
    <w:rsid w:val="002F436E"/>
    <w:rsid w:val="00300179"/>
    <w:rsid w:val="003013D9"/>
    <w:rsid w:val="00302969"/>
    <w:rsid w:val="00305B85"/>
    <w:rsid w:val="00306557"/>
    <w:rsid w:val="00315888"/>
    <w:rsid w:val="00325F01"/>
    <w:rsid w:val="003313BF"/>
    <w:rsid w:val="00333E42"/>
    <w:rsid w:val="0034188E"/>
    <w:rsid w:val="00342125"/>
    <w:rsid w:val="00343AB2"/>
    <w:rsid w:val="003502D7"/>
    <w:rsid w:val="0035236F"/>
    <w:rsid w:val="00354914"/>
    <w:rsid w:val="00364113"/>
    <w:rsid w:val="003642C6"/>
    <w:rsid w:val="00364CB6"/>
    <w:rsid w:val="0036562C"/>
    <w:rsid w:val="00365C0C"/>
    <w:rsid w:val="00371D8D"/>
    <w:rsid w:val="00372AFB"/>
    <w:rsid w:val="00375BB9"/>
    <w:rsid w:val="00376E7B"/>
    <w:rsid w:val="00377174"/>
    <w:rsid w:val="0038171A"/>
    <w:rsid w:val="00385CC7"/>
    <w:rsid w:val="00387C29"/>
    <w:rsid w:val="00387D4C"/>
    <w:rsid w:val="00391350"/>
    <w:rsid w:val="00393D38"/>
    <w:rsid w:val="0039529F"/>
    <w:rsid w:val="00396367"/>
    <w:rsid w:val="00396FEF"/>
    <w:rsid w:val="003B3CF2"/>
    <w:rsid w:val="003B5264"/>
    <w:rsid w:val="003B7873"/>
    <w:rsid w:val="003C18CB"/>
    <w:rsid w:val="003C28A3"/>
    <w:rsid w:val="003D0581"/>
    <w:rsid w:val="003D451B"/>
    <w:rsid w:val="003F47DC"/>
    <w:rsid w:val="003F5933"/>
    <w:rsid w:val="00401886"/>
    <w:rsid w:val="00402912"/>
    <w:rsid w:val="004073ED"/>
    <w:rsid w:val="00414383"/>
    <w:rsid w:val="004221D6"/>
    <w:rsid w:val="00426366"/>
    <w:rsid w:val="0043205B"/>
    <w:rsid w:val="00435559"/>
    <w:rsid w:val="00440C62"/>
    <w:rsid w:val="00440C68"/>
    <w:rsid w:val="004475F1"/>
    <w:rsid w:val="00451604"/>
    <w:rsid w:val="004532D4"/>
    <w:rsid w:val="00455FA6"/>
    <w:rsid w:val="00457D3B"/>
    <w:rsid w:val="00476ADF"/>
    <w:rsid w:val="00481E3C"/>
    <w:rsid w:val="0048369A"/>
    <w:rsid w:val="00486983"/>
    <w:rsid w:val="00487B8D"/>
    <w:rsid w:val="00490489"/>
    <w:rsid w:val="0049156F"/>
    <w:rsid w:val="00494286"/>
    <w:rsid w:val="00494B7F"/>
    <w:rsid w:val="004A1BFA"/>
    <w:rsid w:val="004A46C0"/>
    <w:rsid w:val="004B1646"/>
    <w:rsid w:val="004B30DF"/>
    <w:rsid w:val="004B3E3C"/>
    <w:rsid w:val="004B4586"/>
    <w:rsid w:val="004B4C21"/>
    <w:rsid w:val="004C05A4"/>
    <w:rsid w:val="004C0843"/>
    <w:rsid w:val="004C2C6C"/>
    <w:rsid w:val="004C35BC"/>
    <w:rsid w:val="004C3C2B"/>
    <w:rsid w:val="004C4885"/>
    <w:rsid w:val="004C4E53"/>
    <w:rsid w:val="004C5600"/>
    <w:rsid w:val="004C7287"/>
    <w:rsid w:val="004D472C"/>
    <w:rsid w:val="004D5C55"/>
    <w:rsid w:val="004E386E"/>
    <w:rsid w:val="004E4D10"/>
    <w:rsid w:val="004E6B16"/>
    <w:rsid w:val="004F0BE4"/>
    <w:rsid w:val="004F262A"/>
    <w:rsid w:val="004F3BF9"/>
    <w:rsid w:val="00500CE4"/>
    <w:rsid w:val="00504561"/>
    <w:rsid w:val="00506D5C"/>
    <w:rsid w:val="005102B1"/>
    <w:rsid w:val="00513528"/>
    <w:rsid w:val="00515525"/>
    <w:rsid w:val="00517EF4"/>
    <w:rsid w:val="00522914"/>
    <w:rsid w:val="00524244"/>
    <w:rsid w:val="00532532"/>
    <w:rsid w:val="00534BC8"/>
    <w:rsid w:val="00534DB4"/>
    <w:rsid w:val="0053616C"/>
    <w:rsid w:val="00542369"/>
    <w:rsid w:val="00542FED"/>
    <w:rsid w:val="0054323C"/>
    <w:rsid w:val="00544DBD"/>
    <w:rsid w:val="00547C55"/>
    <w:rsid w:val="0055024F"/>
    <w:rsid w:val="00550396"/>
    <w:rsid w:val="0055171C"/>
    <w:rsid w:val="005537CE"/>
    <w:rsid w:val="00554D03"/>
    <w:rsid w:val="00555979"/>
    <w:rsid w:val="00555E0C"/>
    <w:rsid w:val="005602E0"/>
    <w:rsid w:val="005603C5"/>
    <w:rsid w:val="00572E2B"/>
    <w:rsid w:val="005743CF"/>
    <w:rsid w:val="00580D91"/>
    <w:rsid w:val="00582B71"/>
    <w:rsid w:val="00591159"/>
    <w:rsid w:val="005937B1"/>
    <w:rsid w:val="00594156"/>
    <w:rsid w:val="00596AB8"/>
    <w:rsid w:val="005A047E"/>
    <w:rsid w:val="005A304F"/>
    <w:rsid w:val="005A393C"/>
    <w:rsid w:val="005A5138"/>
    <w:rsid w:val="005A526A"/>
    <w:rsid w:val="005A5BDF"/>
    <w:rsid w:val="005A5D28"/>
    <w:rsid w:val="005A683B"/>
    <w:rsid w:val="005A764F"/>
    <w:rsid w:val="005B10FF"/>
    <w:rsid w:val="005B18AD"/>
    <w:rsid w:val="005B4F08"/>
    <w:rsid w:val="005B591A"/>
    <w:rsid w:val="005B60C6"/>
    <w:rsid w:val="005C15FD"/>
    <w:rsid w:val="005C7FD6"/>
    <w:rsid w:val="005D186C"/>
    <w:rsid w:val="005E3E3E"/>
    <w:rsid w:val="005F74F5"/>
    <w:rsid w:val="00603543"/>
    <w:rsid w:val="006043EB"/>
    <w:rsid w:val="0061113F"/>
    <w:rsid w:val="00613BD5"/>
    <w:rsid w:val="00614CF1"/>
    <w:rsid w:val="00616CB6"/>
    <w:rsid w:val="00621165"/>
    <w:rsid w:val="00625BD5"/>
    <w:rsid w:val="0063210B"/>
    <w:rsid w:val="00636298"/>
    <w:rsid w:val="006403E8"/>
    <w:rsid w:val="00641988"/>
    <w:rsid w:val="006423D7"/>
    <w:rsid w:val="00642B92"/>
    <w:rsid w:val="0064328E"/>
    <w:rsid w:val="0064502D"/>
    <w:rsid w:val="0064596E"/>
    <w:rsid w:val="00646963"/>
    <w:rsid w:val="006512D7"/>
    <w:rsid w:val="006565C6"/>
    <w:rsid w:val="00656872"/>
    <w:rsid w:val="00665AE8"/>
    <w:rsid w:val="00665C5B"/>
    <w:rsid w:val="006667E8"/>
    <w:rsid w:val="006717B2"/>
    <w:rsid w:val="00671AB8"/>
    <w:rsid w:val="00672038"/>
    <w:rsid w:val="00675C1A"/>
    <w:rsid w:val="00676CCB"/>
    <w:rsid w:val="00682018"/>
    <w:rsid w:val="00683007"/>
    <w:rsid w:val="0068429C"/>
    <w:rsid w:val="00685D59"/>
    <w:rsid w:val="00685FDB"/>
    <w:rsid w:val="00687F38"/>
    <w:rsid w:val="006936A4"/>
    <w:rsid w:val="006962DE"/>
    <w:rsid w:val="006A0755"/>
    <w:rsid w:val="006A07A5"/>
    <w:rsid w:val="006A1FC8"/>
    <w:rsid w:val="006A3E97"/>
    <w:rsid w:val="006A5DB7"/>
    <w:rsid w:val="006B0A0C"/>
    <w:rsid w:val="006B16C4"/>
    <w:rsid w:val="006B23AE"/>
    <w:rsid w:val="006B4245"/>
    <w:rsid w:val="006B4351"/>
    <w:rsid w:val="006B43FE"/>
    <w:rsid w:val="006B508B"/>
    <w:rsid w:val="006C31AA"/>
    <w:rsid w:val="006C34AB"/>
    <w:rsid w:val="006C6390"/>
    <w:rsid w:val="006C7054"/>
    <w:rsid w:val="006D1261"/>
    <w:rsid w:val="006D216E"/>
    <w:rsid w:val="006D2BB6"/>
    <w:rsid w:val="0070185A"/>
    <w:rsid w:val="007060FB"/>
    <w:rsid w:val="0071150E"/>
    <w:rsid w:val="007303F7"/>
    <w:rsid w:val="007316ED"/>
    <w:rsid w:val="007329E8"/>
    <w:rsid w:val="007351F4"/>
    <w:rsid w:val="00735BDB"/>
    <w:rsid w:val="00737C2E"/>
    <w:rsid w:val="00737DDD"/>
    <w:rsid w:val="00747A39"/>
    <w:rsid w:val="00764F5D"/>
    <w:rsid w:val="007654DE"/>
    <w:rsid w:val="00766978"/>
    <w:rsid w:val="00770C5C"/>
    <w:rsid w:val="007754DD"/>
    <w:rsid w:val="007770B2"/>
    <w:rsid w:val="0078095F"/>
    <w:rsid w:val="00782662"/>
    <w:rsid w:val="007831D8"/>
    <w:rsid w:val="0079336A"/>
    <w:rsid w:val="007952FF"/>
    <w:rsid w:val="00796CB8"/>
    <w:rsid w:val="007A05A2"/>
    <w:rsid w:val="007A0DC7"/>
    <w:rsid w:val="007B052E"/>
    <w:rsid w:val="007B0923"/>
    <w:rsid w:val="007B102C"/>
    <w:rsid w:val="007B300C"/>
    <w:rsid w:val="007B6229"/>
    <w:rsid w:val="007B7DA7"/>
    <w:rsid w:val="007C1FA6"/>
    <w:rsid w:val="007C2B47"/>
    <w:rsid w:val="007D1B7A"/>
    <w:rsid w:val="007D43D2"/>
    <w:rsid w:val="007D4CF0"/>
    <w:rsid w:val="007D62A9"/>
    <w:rsid w:val="007E3E4C"/>
    <w:rsid w:val="007E4D31"/>
    <w:rsid w:val="007E70A6"/>
    <w:rsid w:val="007E7FE9"/>
    <w:rsid w:val="007F0249"/>
    <w:rsid w:val="007F0E03"/>
    <w:rsid w:val="007F61EA"/>
    <w:rsid w:val="00800959"/>
    <w:rsid w:val="008009BD"/>
    <w:rsid w:val="008027A2"/>
    <w:rsid w:val="008049DE"/>
    <w:rsid w:val="00811648"/>
    <w:rsid w:val="00811734"/>
    <w:rsid w:val="008122ED"/>
    <w:rsid w:val="00814907"/>
    <w:rsid w:val="00816D23"/>
    <w:rsid w:val="008200CE"/>
    <w:rsid w:val="00821E80"/>
    <w:rsid w:val="00822D11"/>
    <w:rsid w:val="00823F35"/>
    <w:rsid w:val="00823FD0"/>
    <w:rsid w:val="00827347"/>
    <w:rsid w:val="00830AE1"/>
    <w:rsid w:val="00831796"/>
    <w:rsid w:val="0083247E"/>
    <w:rsid w:val="00832E2D"/>
    <w:rsid w:val="00837567"/>
    <w:rsid w:val="008375F2"/>
    <w:rsid w:val="0083779E"/>
    <w:rsid w:val="0084147B"/>
    <w:rsid w:val="00842234"/>
    <w:rsid w:val="008448D4"/>
    <w:rsid w:val="00844DCA"/>
    <w:rsid w:val="00844FF6"/>
    <w:rsid w:val="0084590D"/>
    <w:rsid w:val="0085436E"/>
    <w:rsid w:val="00856FEC"/>
    <w:rsid w:val="008576D7"/>
    <w:rsid w:val="008620A0"/>
    <w:rsid w:val="0086573D"/>
    <w:rsid w:val="008663C1"/>
    <w:rsid w:val="0087344C"/>
    <w:rsid w:val="00874A08"/>
    <w:rsid w:val="008754C6"/>
    <w:rsid w:val="00877D2F"/>
    <w:rsid w:val="008800FD"/>
    <w:rsid w:val="0088521F"/>
    <w:rsid w:val="00887A0E"/>
    <w:rsid w:val="008900DB"/>
    <w:rsid w:val="008A1EFE"/>
    <w:rsid w:val="008A2964"/>
    <w:rsid w:val="008A5B76"/>
    <w:rsid w:val="008A63A1"/>
    <w:rsid w:val="008A6C64"/>
    <w:rsid w:val="008B11A1"/>
    <w:rsid w:val="008B4A4A"/>
    <w:rsid w:val="008B4CC4"/>
    <w:rsid w:val="008B7781"/>
    <w:rsid w:val="008C6CCF"/>
    <w:rsid w:val="008C7715"/>
    <w:rsid w:val="008D0BFC"/>
    <w:rsid w:val="008D7AD0"/>
    <w:rsid w:val="008E30D9"/>
    <w:rsid w:val="008E4CFF"/>
    <w:rsid w:val="008F0C8B"/>
    <w:rsid w:val="008F1B2E"/>
    <w:rsid w:val="008F5199"/>
    <w:rsid w:val="008F633B"/>
    <w:rsid w:val="00900DF6"/>
    <w:rsid w:val="00904AD6"/>
    <w:rsid w:val="00912B99"/>
    <w:rsid w:val="00915109"/>
    <w:rsid w:val="00920B8C"/>
    <w:rsid w:val="00923E00"/>
    <w:rsid w:val="009240F0"/>
    <w:rsid w:val="00927C67"/>
    <w:rsid w:val="00936330"/>
    <w:rsid w:val="009436B3"/>
    <w:rsid w:val="00944B4E"/>
    <w:rsid w:val="00945C4F"/>
    <w:rsid w:val="00955E5B"/>
    <w:rsid w:val="009574AE"/>
    <w:rsid w:val="00957B4E"/>
    <w:rsid w:val="009602EE"/>
    <w:rsid w:val="0096506E"/>
    <w:rsid w:val="0096514F"/>
    <w:rsid w:val="00975E10"/>
    <w:rsid w:val="0098234D"/>
    <w:rsid w:val="00987AAF"/>
    <w:rsid w:val="00990F40"/>
    <w:rsid w:val="00992397"/>
    <w:rsid w:val="009942DB"/>
    <w:rsid w:val="00996555"/>
    <w:rsid w:val="009B1122"/>
    <w:rsid w:val="009B2BD6"/>
    <w:rsid w:val="009B2EA2"/>
    <w:rsid w:val="009B58F9"/>
    <w:rsid w:val="009B68DE"/>
    <w:rsid w:val="009B76CE"/>
    <w:rsid w:val="009B7FC7"/>
    <w:rsid w:val="009C5731"/>
    <w:rsid w:val="009D26D2"/>
    <w:rsid w:val="009D59C4"/>
    <w:rsid w:val="009E45FD"/>
    <w:rsid w:val="009E68A4"/>
    <w:rsid w:val="009F508B"/>
    <w:rsid w:val="00A011F7"/>
    <w:rsid w:val="00A0320F"/>
    <w:rsid w:val="00A04330"/>
    <w:rsid w:val="00A0566A"/>
    <w:rsid w:val="00A12802"/>
    <w:rsid w:val="00A16C6D"/>
    <w:rsid w:val="00A170D5"/>
    <w:rsid w:val="00A25AD4"/>
    <w:rsid w:val="00A2723D"/>
    <w:rsid w:val="00A279AD"/>
    <w:rsid w:val="00A310D5"/>
    <w:rsid w:val="00A34501"/>
    <w:rsid w:val="00A439AA"/>
    <w:rsid w:val="00A43FD9"/>
    <w:rsid w:val="00A44998"/>
    <w:rsid w:val="00A4576B"/>
    <w:rsid w:val="00A53465"/>
    <w:rsid w:val="00A542BA"/>
    <w:rsid w:val="00A57D5B"/>
    <w:rsid w:val="00A62248"/>
    <w:rsid w:val="00A63B1D"/>
    <w:rsid w:val="00A63B71"/>
    <w:rsid w:val="00A63FE3"/>
    <w:rsid w:val="00A6534E"/>
    <w:rsid w:val="00A66576"/>
    <w:rsid w:val="00A72A7C"/>
    <w:rsid w:val="00A73411"/>
    <w:rsid w:val="00A75CA7"/>
    <w:rsid w:val="00A76503"/>
    <w:rsid w:val="00A76F95"/>
    <w:rsid w:val="00A77DE6"/>
    <w:rsid w:val="00A82588"/>
    <w:rsid w:val="00A84311"/>
    <w:rsid w:val="00A92AC6"/>
    <w:rsid w:val="00A9417E"/>
    <w:rsid w:val="00A9501C"/>
    <w:rsid w:val="00A96AD7"/>
    <w:rsid w:val="00AA0627"/>
    <w:rsid w:val="00AA1C37"/>
    <w:rsid w:val="00AA234F"/>
    <w:rsid w:val="00AA3FA3"/>
    <w:rsid w:val="00AA7982"/>
    <w:rsid w:val="00AB010A"/>
    <w:rsid w:val="00AB0CC0"/>
    <w:rsid w:val="00AB1E1A"/>
    <w:rsid w:val="00AB5445"/>
    <w:rsid w:val="00AB5DA3"/>
    <w:rsid w:val="00AB75AC"/>
    <w:rsid w:val="00AC2057"/>
    <w:rsid w:val="00AC28CA"/>
    <w:rsid w:val="00AC6979"/>
    <w:rsid w:val="00AC72EF"/>
    <w:rsid w:val="00AC7F8F"/>
    <w:rsid w:val="00AE551B"/>
    <w:rsid w:val="00AF2DC6"/>
    <w:rsid w:val="00AF5911"/>
    <w:rsid w:val="00AF650B"/>
    <w:rsid w:val="00AF6ECB"/>
    <w:rsid w:val="00B010A0"/>
    <w:rsid w:val="00B01700"/>
    <w:rsid w:val="00B02F74"/>
    <w:rsid w:val="00B03DF7"/>
    <w:rsid w:val="00B1340C"/>
    <w:rsid w:val="00B27F4F"/>
    <w:rsid w:val="00B34DFF"/>
    <w:rsid w:val="00B35D04"/>
    <w:rsid w:val="00B376F3"/>
    <w:rsid w:val="00B4100A"/>
    <w:rsid w:val="00B41585"/>
    <w:rsid w:val="00B42A11"/>
    <w:rsid w:val="00B46904"/>
    <w:rsid w:val="00B5277E"/>
    <w:rsid w:val="00B544B2"/>
    <w:rsid w:val="00B57168"/>
    <w:rsid w:val="00B57A83"/>
    <w:rsid w:val="00B670A4"/>
    <w:rsid w:val="00B705FC"/>
    <w:rsid w:val="00B706D5"/>
    <w:rsid w:val="00B7099D"/>
    <w:rsid w:val="00B710AB"/>
    <w:rsid w:val="00B76AE7"/>
    <w:rsid w:val="00B7798D"/>
    <w:rsid w:val="00B84D80"/>
    <w:rsid w:val="00B92B01"/>
    <w:rsid w:val="00B964F3"/>
    <w:rsid w:val="00B96F1A"/>
    <w:rsid w:val="00BA054A"/>
    <w:rsid w:val="00BA17F8"/>
    <w:rsid w:val="00BA1DFD"/>
    <w:rsid w:val="00BA6D90"/>
    <w:rsid w:val="00BA77BF"/>
    <w:rsid w:val="00BA7908"/>
    <w:rsid w:val="00BB5AD9"/>
    <w:rsid w:val="00BC21BC"/>
    <w:rsid w:val="00BC5371"/>
    <w:rsid w:val="00BC75B5"/>
    <w:rsid w:val="00BD1458"/>
    <w:rsid w:val="00BD2FA5"/>
    <w:rsid w:val="00BD37E5"/>
    <w:rsid w:val="00BD4910"/>
    <w:rsid w:val="00BD57B0"/>
    <w:rsid w:val="00BE50D9"/>
    <w:rsid w:val="00BE57BB"/>
    <w:rsid w:val="00BE5B19"/>
    <w:rsid w:val="00BE7D0E"/>
    <w:rsid w:val="00BF0D5C"/>
    <w:rsid w:val="00BF0F85"/>
    <w:rsid w:val="00BF2C8C"/>
    <w:rsid w:val="00BF3710"/>
    <w:rsid w:val="00BF4DB0"/>
    <w:rsid w:val="00C005E4"/>
    <w:rsid w:val="00C00F9F"/>
    <w:rsid w:val="00C04E9D"/>
    <w:rsid w:val="00C04FFB"/>
    <w:rsid w:val="00C12383"/>
    <w:rsid w:val="00C23DC5"/>
    <w:rsid w:val="00C26818"/>
    <w:rsid w:val="00C32297"/>
    <w:rsid w:val="00C32DBB"/>
    <w:rsid w:val="00C34615"/>
    <w:rsid w:val="00C36275"/>
    <w:rsid w:val="00C36646"/>
    <w:rsid w:val="00C50199"/>
    <w:rsid w:val="00C51718"/>
    <w:rsid w:val="00C5313A"/>
    <w:rsid w:val="00C5383C"/>
    <w:rsid w:val="00C55E45"/>
    <w:rsid w:val="00C57D4A"/>
    <w:rsid w:val="00C77C66"/>
    <w:rsid w:val="00C81DF3"/>
    <w:rsid w:val="00C824D4"/>
    <w:rsid w:val="00C84542"/>
    <w:rsid w:val="00C86950"/>
    <w:rsid w:val="00C87827"/>
    <w:rsid w:val="00C90AF6"/>
    <w:rsid w:val="00C93E0B"/>
    <w:rsid w:val="00C9423B"/>
    <w:rsid w:val="00C9711D"/>
    <w:rsid w:val="00CA072D"/>
    <w:rsid w:val="00CA1FE1"/>
    <w:rsid w:val="00CA4AF1"/>
    <w:rsid w:val="00CA56FE"/>
    <w:rsid w:val="00CB1B35"/>
    <w:rsid w:val="00CB234D"/>
    <w:rsid w:val="00CB5147"/>
    <w:rsid w:val="00CB7A68"/>
    <w:rsid w:val="00CC1C21"/>
    <w:rsid w:val="00CC25D3"/>
    <w:rsid w:val="00CC6DE8"/>
    <w:rsid w:val="00CD0753"/>
    <w:rsid w:val="00CD1202"/>
    <w:rsid w:val="00CE082A"/>
    <w:rsid w:val="00CE1BED"/>
    <w:rsid w:val="00CE21FD"/>
    <w:rsid w:val="00CE58DC"/>
    <w:rsid w:val="00CE7109"/>
    <w:rsid w:val="00CE7D11"/>
    <w:rsid w:val="00D00EDC"/>
    <w:rsid w:val="00D0201D"/>
    <w:rsid w:val="00D02B77"/>
    <w:rsid w:val="00D111B5"/>
    <w:rsid w:val="00D13312"/>
    <w:rsid w:val="00D24132"/>
    <w:rsid w:val="00D24357"/>
    <w:rsid w:val="00D3013E"/>
    <w:rsid w:val="00D41B03"/>
    <w:rsid w:val="00D44037"/>
    <w:rsid w:val="00D46594"/>
    <w:rsid w:val="00D476B2"/>
    <w:rsid w:val="00D52482"/>
    <w:rsid w:val="00D531B8"/>
    <w:rsid w:val="00D57D06"/>
    <w:rsid w:val="00D60603"/>
    <w:rsid w:val="00D60CDB"/>
    <w:rsid w:val="00D66763"/>
    <w:rsid w:val="00D725C4"/>
    <w:rsid w:val="00D731E4"/>
    <w:rsid w:val="00D752B3"/>
    <w:rsid w:val="00D758A8"/>
    <w:rsid w:val="00D80270"/>
    <w:rsid w:val="00D83327"/>
    <w:rsid w:val="00D83447"/>
    <w:rsid w:val="00D84587"/>
    <w:rsid w:val="00DB5BB4"/>
    <w:rsid w:val="00DC2453"/>
    <w:rsid w:val="00DC2C73"/>
    <w:rsid w:val="00DC3FA9"/>
    <w:rsid w:val="00DC4513"/>
    <w:rsid w:val="00DC48CB"/>
    <w:rsid w:val="00DD6FB5"/>
    <w:rsid w:val="00DD7B76"/>
    <w:rsid w:val="00DE1AA2"/>
    <w:rsid w:val="00DE41EA"/>
    <w:rsid w:val="00DE44EE"/>
    <w:rsid w:val="00DE630F"/>
    <w:rsid w:val="00E00DFF"/>
    <w:rsid w:val="00E10FA9"/>
    <w:rsid w:val="00E1161F"/>
    <w:rsid w:val="00E13256"/>
    <w:rsid w:val="00E14E72"/>
    <w:rsid w:val="00E17B6A"/>
    <w:rsid w:val="00E263AC"/>
    <w:rsid w:val="00E32BF7"/>
    <w:rsid w:val="00E443D5"/>
    <w:rsid w:val="00E52D99"/>
    <w:rsid w:val="00E57AB1"/>
    <w:rsid w:val="00E6284A"/>
    <w:rsid w:val="00E64FA5"/>
    <w:rsid w:val="00E65064"/>
    <w:rsid w:val="00E65D76"/>
    <w:rsid w:val="00E66431"/>
    <w:rsid w:val="00E67757"/>
    <w:rsid w:val="00E67A52"/>
    <w:rsid w:val="00E73F7F"/>
    <w:rsid w:val="00E746A7"/>
    <w:rsid w:val="00E80D74"/>
    <w:rsid w:val="00E81374"/>
    <w:rsid w:val="00E9102F"/>
    <w:rsid w:val="00E92F39"/>
    <w:rsid w:val="00EA05A6"/>
    <w:rsid w:val="00EA231C"/>
    <w:rsid w:val="00EB2634"/>
    <w:rsid w:val="00EB557E"/>
    <w:rsid w:val="00EB79BD"/>
    <w:rsid w:val="00EC1109"/>
    <w:rsid w:val="00EC2733"/>
    <w:rsid w:val="00EC7EEF"/>
    <w:rsid w:val="00ED060A"/>
    <w:rsid w:val="00ED501D"/>
    <w:rsid w:val="00ED6C28"/>
    <w:rsid w:val="00EE04FF"/>
    <w:rsid w:val="00EE2236"/>
    <w:rsid w:val="00EE4744"/>
    <w:rsid w:val="00EE5508"/>
    <w:rsid w:val="00EF1606"/>
    <w:rsid w:val="00EF350A"/>
    <w:rsid w:val="00EF4B8C"/>
    <w:rsid w:val="00EF7563"/>
    <w:rsid w:val="00F108B3"/>
    <w:rsid w:val="00F145ED"/>
    <w:rsid w:val="00F15786"/>
    <w:rsid w:val="00F2008B"/>
    <w:rsid w:val="00F2187B"/>
    <w:rsid w:val="00F23486"/>
    <w:rsid w:val="00F30C4A"/>
    <w:rsid w:val="00F60442"/>
    <w:rsid w:val="00F6604A"/>
    <w:rsid w:val="00F668E3"/>
    <w:rsid w:val="00F70D40"/>
    <w:rsid w:val="00F72DDF"/>
    <w:rsid w:val="00F7439C"/>
    <w:rsid w:val="00F77EBE"/>
    <w:rsid w:val="00F82765"/>
    <w:rsid w:val="00F8376E"/>
    <w:rsid w:val="00F8550D"/>
    <w:rsid w:val="00F9379F"/>
    <w:rsid w:val="00F93F39"/>
    <w:rsid w:val="00FA0E1D"/>
    <w:rsid w:val="00FA46BA"/>
    <w:rsid w:val="00FB14C0"/>
    <w:rsid w:val="00FB5445"/>
    <w:rsid w:val="00FB7807"/>
    <w:rsid w:val="00FC011E"/>
    <w:rsid w:val="00FC2E02"/>
    <w:rsid w:val="00FC7081"/>
    <w:rsid w:val="00FD1391"/>
    <w:rsid w:val="00FD1FD0"/>
    <w:rsid w:val="00FD3B53"/>
    <w:rsid w:val="00FD3D19"/>
    <w:rsid w:val="00FD57AF"/>
    <w:rsid w:val="00FD66CC"/>
    <w:rsid w:val="00FD6CD0"/>
    <w:rsid w:val="00FE1C09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373FB3D"/>
  <w15:docId w15:val="{25CD5977-A736-466D-8BC3-D0E52063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B76"/>
  </w:style>
  <w:style w:type="paragraph" w:styleId="Heading1">
    <w:name w:val="heading 1"/>
    <w:basedOn w:val="Normal"/>
    <w:next w:val="Normal"/>
    <w:link w:val="Heading1Char"/>
    <w:uiPriority w:val="9"/>
    <w:qFormat/>
    <w:rsid w:val="005E3E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E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765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B57A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21165"/>
    <w:pPr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116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21165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5A047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14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CF1"/>
  </w:style>
  <w:style w:type="paragraph" w:styleId="Footer">
    <w:name w:val="footer"/>
    <w:basedOn w:val="Normal"/>
    <w:link w:val="FooterChar"/>
    <w:uiPriority w:val="99"/>
    <w:unhideWhenUsed/>
    <w:rsid w:val="00E92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F39"/>
  </w:style>
  <w:style w:type="table" w:styleId="LightGrid-Accent5">
    <w:name w:val="Light Grid Accent 5"/>
    <w:basedOn w:val="TableNormal"/>
    <w:uiPriority w:val="62"/>
    <w:rsid w:val="00B779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yle3">
    <w:name w:val="style3"/>
    <w:basedOn w:val="DefaultParagraphFont"/>
    <w:rsid w:val="00534BC8"/>
  </w:style>
  <w:style w:type="paragraph" w:styleId="NormalWeb">
    <w:name w:val="Normal (Web)"/>
    <w:basedOn w:val="Normal"/>
    <w:uiPriority w:val="99"/>
    <w:unhideWhenUsed/>
    <w:rsid w:val="00534B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4BC8"/>
    <w:rPr>
      <w:b/>
      <w:bCs/>
    </w:rPr>
  </w:style>
  <w:style w:type="character" w:styleId="Emphasis">
    <w:name w:val="Emphasis"/>
    <w:basedOn w:val="DefaultParagraphFont"/>
    <w:uiPriority w:val="20"/>
    <w:qFormat/>
    <w:rsid w:val="00534BC8"/>
    <w:rPr>
      <w:i/>
      <w:iCs/>
    </w:rPr>
  </w:style>
  <w:style w:type="character" w:customStyle="1" w:styleId="style4">
    <w:name w:val="style4"/>
    <w:basedOn w:val="DefaultParagraphFont"/>
    <w:rsid w:val="00534BC8"/>
  </w:style>
  <w:style w:type="character" w:customStyle="1" w:styleId="style6">
    <w:name w:val="style6"/>
    <w:basedOn w:val="DefaultParagraphFont"/>
    <w:rsid w:val="00534BC8"/>
  </w:style>
  <w:style w:type="paragraph" w:customStyle="1" w:styleId="style7">
    <w:name w:val="style7"/>
    <w:basedOn w:val="Normal"/>
    <w:rsid w:val="00534B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534BC8"/>
    <w:pPr>
      <w:tabs>
        <w:tab w:val="left" w:pos="-720"/>
        <w:tab w:val="left" w:pos="0"/>
        <w:tab w:val="left" w:pos="2880"/>
      </w:tabs>
      <w:suppressAutoHyphens/>
      <w:overflowPunct w:val="0"/>
      <w:autoSpaceDE w:val="0"/>
      <w:autoSpaceDN w:val="0"/>
      <w:adjustRightInd w:val="0"/>
      <w:ind w:left="2880" w:hanging="72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34BC8"/>
    <w:rPr>
      <w:rFonts w:ascii="Times New Roman" w:eastAsia="Times New Roman" w:hAnsi="Times New Roman" w:cs="Times New Roman"/>
      <w:spacing w:val="-3"/>
      <w:sz w:val="24"/>
      <w:szCs w:val="20"/>
    </w:rPr>
  </w:style>
  <w:style w:type="table" w:styleId="TableGrid">
    <w:name w:val="Table Grid"/>
    <w:basedOn w:val="TableNormal"/>
    <w:uiPriority w:val="59"/>
    <w:rsid w:val="00DD7B7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0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CE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6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69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F0BE4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242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E810-D245-4320-AE6A-FB2063A1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Garrett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gilman</dc:creator>
  <cp:keywords/>
  <dc:description/>
  <cp:lastModifiedBy>Meagher, Kathy</cp:lastModifiedBy>
  <cp:revision>5</cp:revision>
  <cp:lastPrinted>2020-01-31T15:23:00Z</cp:lastPrinted>
  <dcterms:created xsi:type="dcterms:W3CDTF">2020-01-31T13:44:00Z</dcterms:created>
  <dcterms:modified xsi:type="dcterms:W3CDTF">2020-01-31T15:41:00Z</dcterms:modified>
</cp:coreProperties>
</file>